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C66C2E" w:rsidP="00C66C2E">
      <w:pPr>
        <w:spacing w:line="240" w:lineRule="exact"/>
        <w:jc w:val="right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Образец № 2</w:t>
      </w: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ДО</w:t>
      </w: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НАЦИОНАЛЕН СТАТИСТИЧЕСКИ ИНСТИТУТ</w:t>
      </w: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гр. София 1038, ул. „Панайот Волов“ № 2</w:t>
      </w: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C66C2E" w:rsidRDefault="00C66C2E" w:rsidP="00C66C2E">
      <w:pPr>
        <w:spacing w:line="240" w:lineRule="exact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</w:p>
    <w:p w:rsidR="00C66C2E" w:rsidRDefault="00C66C2E" w:rsidP="00C66C2E">
      <w:pPr>
        <w:spacing w:line="240" w:lineRule="exact"/>
        <w:jc w:val="center"/>
        <w:rPr>
          <w:rFonts w:ascii="Times New Roman" w:hAnsi="Times New Roman"/>
          <w:b/>
          <w:lang w:val="bg-BG"/>
        </w:rPr>
      </w:pPr>
    </w:p>
    <w:p w:rsidR="00C66C2E" w:rsidRDefault="00C66C2E" w:rsidP="00C66C2E">
      <w:pPr>
        <w:spacing w:line="240" w:lineRule="exact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УЧАСТИЕ В ПРОЦЕДУРА ДОГОВАРЯНЕ БЕЗ ПРЕДВАРИТЕЛНО ОБЯВЛЕНИЕ С ПРЕДМЕТ: „Подновяване на абонаментна поддръжка на счетоводен продукт КОНТО“</w:t>
      </w:r>
    </w:p>
    <w:p w:rsidR="00C66C2E" w:rsidRDefault="00C66C2E" w:rsidP="00C66C2E">
      <w:pPr>
        <w:spacing w:line="240" w:lineRule="exact"/>
        <w:jc w:val="center"/>
        <w:rPr>
          <w:rFonts w:ascii="Times New Roman" w:hAnsi="Times New Roman"/>
          <w:b/>
          <w:lang w:val="bg-BG"/>
        </w:rPr>
      </w:pPr>
    </w:p>
    <w:p w:rsidR="00C66C2E" w:rsidRDefault="00C66C2E" w:rsidP="00C66C2E">
      <w:pPr>
        <w:spacing w:line="240" w:lineRule="exact"/>
        <w:jc w:val="center"/>
        <w:rPr>
          <w:rFonts w:ascii="Times New Roman" w:hAnsi="Times New Roman"/>
          <w:b/>
          <w:lang w:val="bg-BG"/>
        </w:rPr>
      </w:pPr>
    </w:p>
    <w:p w:rsidR="00C66C2E" w:rsidRPr="007E12DD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от ………......................................................................................................................................</w:t>
      </w:r>
    </w:p>
    <w:p w:rsidR="00C66C2E" w:rsidRPr="007E12DD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/наименование на участника /</w:t>
      </w:r>
    </w:p>
    <w:p w:rsidR="00C66C2E" w:rsidRPr="007E12DD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седалище: ...................................................................................., адрес за кореспонденция:.............................................................................., телефон: ........................, факс: ................................, е-</w:t>
      </w:r>
      <w:proofErr w:type="spellStart"/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mail</w:t>
      </w:r>
      <w:proofErr w:type="spellEnd"/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 xml:space="preserve">:...................................,  ЕИК: ............................................, </w:t>
      </w:r>
    </w:p>
    <w:p w:rsidR="00C66C2E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 xml:space="preserve">представляван от: .................................................................................. </w:t>
      </w:r>
    </w:p>
    <w:p w:rsidR="00C66C2E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/>
          <w:szCs w:val="24"/>
          <w:u w:color="000000"/>
          <w:bdr w:val="nil"/>
          <w:lang w:val="bg-BG"/>
        </w:rPr>
      </w:pPr>
    </w:p>
    <w:p w:rsidR="00C66C2E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b/>
          <w:szCs w:val="24"/>
          <w:u w:color="000000"/>
          <w:bdr w:val="nil"/>
          <w:lang w:val="bg-BG"/>
        </w:rPr>
      </w:pPr>
      <w:r>
        <w:rPr>
          <w:rFonts w:ascii="Times New Roman" w:eastAsia="Times New Roman" w:hAnsi="Times New Roman"/>
          <w:b/>
          <w:szCs w:val="24"/>
          <w:u w:color="000000"/>
          <w:bdr w:val="nil"/>
          <w:lang w:val="bg-BG"/>
        </w:rPr>
        <w:tab/>
      </w:r>
    </w:p>
    <w:p w:rsidR="00C66C2E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/>
          <w:b/>
          <w:szCs w:val="24"/>
          <w:u w:color="000000"/>
          <w:bdr w:val="nil"/>
          <w:lang w:val="bg-BG"/>
        </w:rPr>
      </w:pPr>
      <w:r>
        <w:rPr>
          <w:rFonts w:ascii="Times New Roman" w:eastAsia="Times New Roman" w:hAnsi="Times New Roman"/>
          <w:b/>
          <w:szCs w:val="24"/>
          <w:u w:color="000000"/>
          <w:bdr w:val="nil"/>
          <w:lang w:val="bg-BG"/>
        </w:rPr>
        <w:t>УВАЖАЕМИ ДАМИ И ГОСПОДА,</w:t>
      </w:r>
    </w:p>
    <w:p w:rsidR="00C66C2E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/>
          <w:b/>
          <w:szCs w:val="24"/>
          <w:u w:color="000000"/>
          <w:bdr w:val="nil"/>
          <w:lang w:val="bg-BG"/>
        </w:rPr>
      </w:pPr>
    </w:p>
    <w:p w:rsidR="00C66C2E" w:rsidRDefault="00C66C2E" w:rsidP="00C66C2E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>
        <w:rPr>
          <w:rFonts w:ascii="Times New Roman" w:eastAsia="Times New Roman" w:hAnsi="Times New Roman"/>
          <w:szCs w:val="24"/>
          <w:u w:color="000000"/>
          <w:bdr w:val="nil"/>
          <w:lang w:val="bg-BG"/>
        </w:rPr>
        <w:t>След запознаване с настоящата документация за участие в процедура договаряне без предварително обявление с предмет: „</w:t>
      </w:r>
      <w:r w:rsidRPr="00C66C2E">
        <w:rPr>
          <w:rFonts w:ascii="Times New Roman" w:eastAsia="Times New Roman" w:hAnsi="Times New Roman"/>
          <w:b/>
          <w:szCs w:val="24"/>
          <w:u w:color="000000"/>
          <w:bdr w:val="nil"/>
          <w:lang w:val="bg-BG"/>
        </w:rPr>
        <w:t>Подновяване на абонаментна поддръжка на счетоводен продукт КОНТО</w:t>
      </w:r>
      <w:r>
        <w:rPr>
          <w:rFonts w:ascii="Times New Roman" w:eastAsia="Times New Roman" w:hAnsi="Times New Roman"/>
          <w:szCs w:val="24"/>
          <w:u w:color="000000"/>
          <w:bdr w:val="nil"/>
          <w:lang w:val="bg-BG"/>
        </w:rPr>
        <w:t>“, предлагаме да изпълним поръчката съгласно техническата спецификация както следва:</w:t>
      </w:r>
    </w:p>
    <w:p w:rsidR="00F805DE" w:rsidRDefault="00F805DE" w:rsidP="00C66C2E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</w:p>
    <w:p w:rsidR="00F805DE" w:rsidRPr="00F805DE" w:rsidRDefault="00F805DE" w:rsidP="00F805DE">
      <w:pPr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2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2"/>
          <w:lang w:val="en-US" w:eastAsia="bg-BG" w:bidi="bg-BG"/>
        </w:rPr>
        <w:t xml:space="preserve">I. </w:t>
      </w:r>
      <w:r w:rsidRPr="00F805DE">
        <w:rPr>
          <w:rFonts w:ascii="Times New Roman" w:eastAsia="Times New Roman" w:hAnsi="Times New Roman"/>
          <w:color w:val="000000"/>
          <w:szCs w:val="22"/>
          <w:lang w:val="bg-BG" w:eastAsia="bg-BG" w:bidi="bg-BG"/>
        </w:rPr>
        <w:t>Абонаментната поддръжка включва следните услуги:</w:t>
      </w:r>
    </w:p>
    <w:p w:rsidR="00C66C2E" w:rsidRDefault="00C66C2E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F805DE" w:rsidRPr="00F805DE" w:rsidRDefault="00F805DE" w:rsidP="00F805DE">
      <w:pPr>
        <w:widowControl w:val="0"/>
        <w:spacing w:line="240" w:lineRule="exact"/>
        <w:ind w:firstLine="70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="Times New Roman" w:hAnsi="Times New Roman"/>
          <w:szCs w:val="24"/>
          <w:lang w:val="bg-BG" w:eastAsia="bg-BG" w:bidi="bg-BG"/>
        </w:rPr>
        <w:t>1. Актуализация на Системата или на отделни модули от нея с цел подобряване, добавяне или промяна на функционалните й възможности, свързани със законодателни или нормативни изисквания или промени в тях, в сроковете посочени в закона или съответно в нормативната уредба;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2. Анализиране на аварийни ситуации и даване на препоръки за действие Дефиниране и зареждане на нови структурни единици на организацията в системата;</w:t>
      </w:r>
    </w:p>
    <w:p w:rsidR="00F805DE" w:rsidRPr="00F805DE" w:rsidRDefault="00F805DE" w:rsidP="00F805DE">
      <w:pPr>
        <w:widowControl w:val="0"/>
        <w:spacing w:line="240" w:lineRule="exact"/>
        <w:ind w:firstLine="70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3. Оказване на съдействие при отстраняване на проблемни ситуации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в рамките </w:t>
      </w:r>
      <w:r w:rsidRPr="00F805DE">
        <w:rPr>
          <w:rFonts w:ascii="Times New Roman" w:eastAsia="Times New Roman" w:hAnsi="Times New Roman"/>
          <w:szCs w:val="24"/>
          <w:lang w:val="bg-BG" w:eastAsia="bg-BG" w:bidi="bg-BG"/>
        </w:rPr>
        <w:t>на 48 часа от получаване на писмено уведомление от Възложителя</w:t>
      </w:r>
      <w:r w:rsidRPr="00F805DE">
        <w:rPr>
          <w:rFonts w:ascii="Times New Roman" w:eastAsiaTheme="minorHAnsi" w:hAnsi="Times New Roman"/>
          <w:szCs w:val="24"/>
          <w:lang w:val="bg-BG"/>
        </w:rPr>
        <w:t>;</w:t>
      </w:r>
    </w:p>
    <w:p w:rsidR="00F805DE" w:rsidRPr="00F805DE" w:rsidRDefault="00F805DE" w:rsidP="00F805DE">
      <w:pPr>
        <w:widowControl w:val="0"/>
        <w:spacing w:line="240" w:lineRule="exact"/>
        <w:ind w:firstLine="70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4. Даване на указания на място, по телефон и/или електронна поща за осигуряване на правилната работа и използване на функционалността на системата, без ограничение в броя или продължителността на разговорите/писмата;</w:t>
      </w:r>
    </w:p>
    <w:p w:rsidR="00F805DE" w:rsidRPr="00F805DE" w:rsidRDefault="00F805DE" w:rsidP="00F805DE">
      <w:pPr>
        <w:widowControl w:val="0"/>
        <w:spacing w:line="240" w:lineRule="exact"/>
        <w:ind w:firstLine="70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5. Инсталиране и преинсталиране на системата във връзка с налична актуализация на продукта, при</w:t>
      </w:r>
      <w:r w:rsidRPr="00F805DE">
        <w:rPr>
          <w:rFonts w:ascii="Times New Roman" w:eastAsiaTheme="minorHAnsi" w:hAnsi="Times New Roman"/>
          <w:szCs w:val="24"/>
          <w:lang w:val="en-US"/>
        </w:rPr>
        <w:t xml:space="preserve"> </w:t>
      </w:r>
      <w:r w:rsidRPr="00F805DE">
        <w:rPr>
          <w:rFonts w:ascii="Times New Roman" w:eastAsiaTheme="minorHAnsi" w:hAnsi="Times New Roman"/>
          <w:szCs w:val="24"/>
          <w:lang w:val="bg-BG"/>
        </w:rPr>
        <w:t>налични нови версии, както и при подмяна на сървъри и работни станции;</w:t>
      </w:r>
    </w:p>
    <w:p w:rsidR="00F805DE" w:rsidRPr="00F805DE" w:rsidRDefault="00F805DE" w:rsidP="00F805DE">
      <w:pPr>
        <w:widowControl w:val="0"/>
        <w:spacing w:line="240" w:lineRule="exact"/>
        <w:ind w:firstLine="70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6. Дефиниране на нови потребители;</w:t>
      </w:r>
    </w:p>
    <w:p w:rsidR="00F805DE" w:rsidRPr="00F805DE" w:rsidRDefault="00F805DE" w:rsidP="00F805DE">
      <w:pPr>
        <w:widowControl w:val="0"/>
        <w:spacing w:line="240" w:lineRule="exact"/>
        <w:ind w:left="360" w:firstLine="34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7. Откриване на нови счетоводни периоди;</w:t>
      </w:r>
    </w:p>
    <w:p w:rsidR="00F805DE" w:rsidRPr="00F805DE" w:rsidRDefault="00F805DE" w:rsidP="00F805DE">
      <w:pPr>
        <w:widowControl w:val="0"/>
        <w:spacing w:line="240" w:lineRule="exact"/>
        <w:ind w:left="360" w:firstLine="348"/>
        <w:jc w:val="both"/>
        <w:rPr>
          <w:rFonts w:ascii="Times New Roman" w:eastAsiaTheme="minorHAnsi" w:hAnsi="Times New Roman"/>
          <w:szCs w:val="24"/>
          <w:lang w:val="bg-BG"/>
        </w:rPr>
      </w:pPr>
      <w:r w:rsidRPr="00F805DE">
        <w:rPr>
          <w:rFonts w:ascii="Times New Roman" w:eastAsiaTheme="minorHAnsi" w:hAnsi="Times New Roman"/>
          <w:szCs w:val="24"/>
          <w:lang w:val="bg-BG"/>
        </w:rPr>
        <w:t>8. Прехвърляне на салда;</w:t>
      </w:r>
    </w:p>
    <w:p w:rsidR="00F805DE" w:rsidRPr="00F805DE" w:rsidRDefault="00F805DE" w:rsidP="00F805DE">
      <w:pPr>
        <w:widowControl w:val="0"/>
        <w:spacing w:line="240" w:lineRule="exact"/>
        <w:ind w:left="360" w:right="1480" w:firstLine="348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9. Заключване периоди;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10. Откриване на нови сметки и номенклатури и предефиниране на съществуващите такива;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11. Съдействие за изготвяне на специфична информация към държавни органи в частност Сметна Палата;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12. Актуализация на базата данни, във връзка с нови версии на софтуера;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13. Администриране на базата данни;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szCs w:val="24"/>
          <w:lang w:val="bg-BG" w:eastAsia="bg-BG" w:bidi="bg-BG"/>
        </w:rPr>
        <w:lastRenderedPageBreak/>
        <w:t>14. Архивиране на базата данни;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15. Възстановяване на базата данни при необходимост;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16. Проверка на качеството на изготвените архиви на базата данни;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17. Проверка на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комплексността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на базата данни;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18. Проверка на логическата цялост на базата данни;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19. Дефиниране/ Редакция на счетоводни сметки;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20. Дефиниране/ Редакция на подсказки в аналитичността на счетоводни сметки;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21. Дефиниране на диапазони на номенклатура в зависимост от офиса в системата;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22. Дефиниране на номенклатури;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23. Деактивиране на елементи от номенклатури;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24. Дефиниране на нови групи/подгрупи в идентификационната структура на артикулите;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25. Дефиниране на допълнителни настройка на артикули — ценови листи, баркодове, складови адреси и други;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26. Деактивиране на артикули;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27. Дефиниране/ Редакция на документи;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28. Дефиниране/ Редакция на счетоводни схеми за автоматично осчетоводяване на документи;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29. Дефиниране/ Редакция на печатни бланки на документи;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30. Редакция на графичния дизайн на документите;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31. Дефиниране/ Редакция на подсказки в документи;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32. Дефиниране/ Редакция на бизнес процеси;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33. Дефиниране/ Редакция на отчетни форми;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34. Дефиниране/ Редакция на Оборотни ведомости по избрани сметки;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35. Настройка на Дневници по ДДС;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36. Оказване на съдействие при засичане на Дневници по ДДС;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37. Дефиниране/ Редакция на специфични справки;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38. Разделяне на счетоводни години в отделни бази данни;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39. Прехвърляне на начални салда в началото на финансовата година;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40. Актуализиране на документациите за работа със системата;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41. Дефиниране на нови рецепти в модул Ресторант;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42. Оказване на съдействие при засичане на въведената информация между модули Ресторант и Счетоводство;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highlight w:val="yellow"/>
          <w:lang w:val="bg-BG" w:eastAsia="bg-BG" w:bidi="bg-BG"/>
        </w:rPr>
        <w:t xml:space="preserve">43. Конто Хотел – настройка и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highlight w:val="yellow"/>
          <w:lang w:val="bg-BG" w:eastAsia="bg-BG" w:bidi="bg-BG"/>
        </w:rPr>
        <w:t>параметризиране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44. Оказване на съдействие при равнение между модули Склад и Счетоводство;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45. Оказване на съдействие при равнение между модули Дълготрайни активи и счетоводство;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46. Оказване на съдействие при начисляване на амортизации; </w:t>
      </w:r>
    </w:p>
    <w:p w:rsidR="00F805DE" w:rsidRPr="00F805DE" w:rsidRDefault="00F805DE" w:rsidP="00F805DE">
      <w:pPr>
        <w:widowControl w:val="0"/>
        <w:spacing w:line="240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47. Оказване на съдействие при анализ на разлики в отчетните форми.</w:t>
      </w:r>
    </w:p>
    <w:p w:rsidR="00F805DE" w:rsidRPr="00F805DE" w:rsidRDefault="00F805DE" w:rsidP="00F805DE">
      <w:pPr>
        <w:widowControl w:val="0"/>
        <w:spacing w:line="274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</w:p>
    <w:p w:rsidR="00F805DE" w:rsidRPr="00F805DE" w:rsidRDefault="00F805DE" w:rsidP="00F805DE">
      <w:pPr>
        <w:widowControl w:val="0"/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Освен абонаментното поддържане, в ра</w:t>
      </w:r>
      <w:r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мките на ценовото предложение ще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бъде доразвит внедрения софтуер като интегрираме и продажби с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>P</w:t>
      </w:r>
      <w:r w:rsidRPr="00F805DE">
        <w:rPr>
          <w:rFonts w:ascii="Times New Roman" w:eastAsia="Times New Roman" w:hAnsi="Times New Roman"/>
          <w:color w:val="000000"/>
          <w:szCs w:val="24"/>
          <w:lang w:val="bg-BG" w:bidi="en-US"/>
        </w:rPr>
        <w:t>О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>S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/</w:t>
      </w:r>
      <w:r w:rsidRPr="00F805DE">
        <w:rPr>
          <w:rFonts w:ascii="Times New Roman" w:eastAsia="Times New Roman" w:hAnsi="Times New Roman"/>
          <w:color w:val="000000"/>
          <w:szCs w:val="24"/>
          <w:u w:val="single"/>
          <w:lang w:val="bg-BG" w:eastAsia="bg-BG" w:bidi="bg-BG"/>
        </w:rPr>
        <w:t>в 6-те т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ериториални статистически бюра. Дейностите, които следва да бъдат изпълнени по това внедряване, са:</w:t>
      </w:r>
    </w:p>
    <w:p w:rsidR="00F805DE" w:rsidRPr="00F805DE" w:rsidRDefault="00F805DE" w:rsidP="00F805DE">
      <w:pPr>
        <w:widowControl w:val="0"/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1.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Параметризиране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на процесите и документите, касаещи автоматичното осчетоводяване на извършените плащания.</w:t>
      </w:r>
    </w:p>
    <w:p w:rsidR="00F805DE" w:rsidRPr="00F805DE" w:rsidRDefault="00F805DE" w:rsidP="00F805DE">
      <w:pPr>
        <w:widowControl w:val="0"/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2. Доработка на системата във връзка с автоматизиран трансфер на информация към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 xml:space="preserve">POS 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терминалите /ОББ АД, УниКредит Булбанк АД,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Сибанк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ЕАД и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Сосиете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Женерал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Експресбанк АД/, които ползва администрацията на НСИ.</w:t>
      </w:r>
    </w:p>
    <w:p w:rsidR="00F805DE" w:rsidRPr="00F805DE" w:rsidRDefault="00F805DE" w:rsidP="00F805DE">
      <w:pPr>
        <w:widowControl w:val="0"/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3. Извършване на тестове в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 xml:space="preserve">QA 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отдела на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>dWare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 xml:space="preserve"> 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във връзка с </w:t>
      </w:r>
      <w:proofErr w:type="spellStart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новоизградената</w:t>
      </w:r>
      <w:proofErr w:type="spellEnd"/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 функционалност.</w:t>
      </w:r>
    </w:p>
    <w:p w:rsidR="00F805DE" w:rsidRPr="00F805DE" w:rsidRDefault="00F805DE" w:rsidP="00F805DE">
      <w:pPr>
        <w:widowControl w:val="0"/>
        <w:tabs>
          <w:tab w:val="left" w:pos="1418"/>
        </w:tabs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4. Посещение на място във всеки обект за:</w:t>
      </w:r>
    </w:p>
    <w:p w:rsidR="00F805DE" w:rsidRPr="00F805DE" w:rsidRDefault="00F805DE" w:rsidP="00F805DE">
      <w:pPr>
        <w:widowControl w:val="0"/>
        <w:tabs>
          <w:tab w:val="left" w:pos="1418"/>
          <w:tab w:val="left" w:pos="1701"/>
        </w:tabs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- инсталиране на модул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>POS;</w:t>
      </w:r>
    </w:p>
    <w:p w:rsidR="00F805DE" w:rsidRPr="00F805DE" w:rsidRDefault="00F805DE" w:rsidP="00F805DE">
      <w:pPr>
        <w:widowControl w:val="0"/>
        <w:tabs>
          <w:tab w:val="left" w:pos="1418"/>
          <w:tab w:val="left" w:pos="1701"/>
          <w:tab w:val="left" w:pos="3949"/>
        </w:tabs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- установяване на връзка с базата данни, разположена на централния сървър;</w:t>
      </w:r>
    </w:p>
    <w:p w:rsidR="00F805DE" w:rsidRPr="00F805DE" w:rsidRDefault="00F805DE" w:rsidP="00F805DE">
      <w:pPr>
        <w:widowControl w:val="0"/>
        <w:tabs>
          <w:tab w:val="left" w:pos="1418"/>
          <w:tab w:val="left" w:pos="1701"/>
          <w:tab w:val="left" w:pos="3949"/>
        </w:tabs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lastRenderedPageBreak/>
        <w:t>- свързване на касовите апарати към работните станции;</w:t>
      </w:r>
    </w:p>
    <w:p w:rsidR="00F805DE" w:rsidRPr="00F805DE" w:rsidRDefault="00F805DE" w:rsidP="00F805DE">
      <w:pPr>
        <w:widowControl w:val="0"/>
        <w:tabs>
          <w:tab w:val="left" w:pos="1418"/>
          <w:tab w:val="left" w:pos="1701"/>
          <w:tab w:val="left" w:pos="3949"/>
        </w:tabs>
        <w:spacing w:line="302" w:lineRule="exact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- свързване на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 xml:space="preserve">POS 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терминалите към работните станции;</w:t>
      </w:r>
    </w:p>
    <w:p w:rsidR="00F805DE" w:rsidRPr="00F805DE" w:rsidRDefault="00F805DE" w:rsidP="00F805DE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color w:val="000000"/>
          <w:szCs w:val="24"/>
          <w:lang w:val="bg-BG" w:eastAsia="bg-BG" w:bidi="bg-BG"/>
        </w:rPr>
      </w:pP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ab/>
        <w:t xml:space="preserve">- извършване на тестове за коректността и пълнотата на трансферираната      информация между модул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 xml:space="preserve">POS, 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 xml:space="preserve">касовите апарати и </w:t>
      </w:r>
      <w:r w:rsidRPr="00F805DE">
        <w:rPr>
          <w:rFonts w:ascii="Times New Roman" w:eastAsia="Times New Roman" w:hAnsi="Times New Roman"/>
          <w:color w:val="000000"/>
          <w:szCs w:val="24"/>
          <w:lang w:val="en-US" w:bidi="en-US"/>
        </w:rPr>
        <w:t xml:space="preserve">POS </w:t>
      </w:r>
      <w:r w:rsidRPr="00F805DE">
        <w:rPr>
          <w:rFonts w:ascii="Times New Roman" w:eastAsia="Times New Roman" w:hAnsi="Times New Roman"/>
          <w:color w:val="000000"/>
          <w:szCs w:val="24"/>
          <w:lang w:val="bg-BG" w:eastAsia="bg-BG" w:bidi="bg-BG"/>
        </w:rPr>
        <w:t>терминалите.</w:t>
      </w: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en-US"/>
        </w:rPr>
        <w:t xml:space="preserve">II. </w:t>
      </w:r>
      <w:r>
        <w:rPr>
          <w:rFonts w:ascii="Times New Roman" w:hAnsi="Times New Roman"/>
          <w:lang w:val="bg-BG"/>
        </w:rPr>
        <w:t>Срокът за изпълнение на услугата – 24 (двадесет и четири месеца), считано от датата на сключване на договора за възлагане на обществената поръчка.</w:t>
      </w: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en-US"/>
        </w:rPr>
        <w:t xml:space="preserve">III. </w:t>
      </w:r>
      <w:r>
        <w:rPr>
          <w:rFonts w:ascii="Times New Roman" w:hAnsi="Times New Roman"/>
          <w:lang w:val="bg-BG"/>
        </w:rPr>
        <w:t>Заявявам, че сме запознати и приемаме да изпълним всички изисквания отразени в документацията на настоящата процедура.</w:t>
      </w: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en-US"/>
        </w:rPr>
        <w:t xml:space="preserve">IV. </w:t>
      </w:r>
      <w:r>
        <w:rPr>
          <w:rFonts w:ascii="Times New Roman" w:hAnsi="Times New Roman"/>
          <w:lang w:val="bg-BG"/>
        </w:rPr>
        <w:t>Заявявам, че сме запознати и приемаме техническата спецификация на Възложителя и в случай, че бъдем избрани за изпълнител ще я спазваме и изпълняваме в цялост.</w:t>
      </w: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712530" w:rsidRPr="006D531C" w:rsidRDefault="00F805DE" w:rsidP="00712530">
      <w:pPr>
        <w:tabs>
          <w:tab w:val="left" w:pos="0"/>
        </w:tabs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>
        <w:rPr>
          <w:rFonts w:ascii="Times New Roman" w:hAnsi="Times New Roman"/>
          <w:lang w:val="bg-BG"/>
        </w:rPr>
        <w:tab/>
      </w:r>
      <w:r w:rsidR="00712530">
        <w:rPr>
          <w:rFonts w:ascii="Times New Roman" w:hAnsi="Times New Roman"/>
          <w:lang w:val="en-US"/>
        </w:rPr>
        <w:t xml:space="preserve">V. </w:t>
      </w:r>
      <w:r w:rsidR="00712530" w:rsidRPr="007E12DD">
        <w:rPr>
          <w:rFonts w:ascii="Times New Roman" w:eastAsia="Calibri" w:hAnsi="Times New Roman"/>
          <w:noProof/>
          <w:szCs w:val="24"/>
          <w:lang w:val="bg-BG" w:eastAsia="bg-BG"/>
        </w:rPr>
        <w:t>Предлаганата от нас оферта е със срок на валиднос</w:t>
      </w:r>
      <w:r w:rsidR="00712530">
        <w:rPr>
          <w:rFonts w:ascii="Times New Roman" w:eastAsia="Calibri" w:hAnsi="Times New Roman"/>
          <w:noProof/>
          <w:szCs w:val="24"/>
          <w:lang w:val="bg-BG" w:eastAsia="bg-BG"/>
        </w:rPr>
        <w:t>т ……………………. (………………………………..) месеца</w:t>
      </w:r>
      <w:r w:rsidR="00712530"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, считано от крайния срок за приемане на оферти </w:t>
      </w:r>
      <w:r w:rsidR="00712530" w:rsidRPr="007E12DD">
        <w:rPr>
          <w:rFonts w:ascii="Times New Roman" w:eastAsia="Calibri" w:hAnsi="Times New Roman"/>
          <w:i/>
          <w:noProof/>
          <w:szCs w:val="24"/>
          <w:lang w:val="bg-BG" w:eastAsia="bg-BG"/>
        </w:rPr>
        <w:t xml:space="preserve">(……………………………….) </w:t>
      </w:r>
      <w:r w:rsidR="00712530">
        <w:rPr>
          <w:rFonts w:ascii="Times New Roman" w:eastAsia="Calibri" w:hAnsi="Times New Roman"/>
          <w:i/>
          <w:noProof/>
          <w:szCs w:val="24"/>
          <w:lang w:val="bg-BG" w:eastAsia="bg-BG"/>
        </w:rPr>
        <w:t>минимум 6 месеца</w:t>
      </w:r>
      <w:r w:rsidR="00712530" w:rsidRPr="007E12DD">
        <w:rPr>
          <w:rFonts w:ascii="Times New Roman" w:eastAsia="Calibri" w:hAnsi="Times New Roman"/>
          <w:i/>
          <w:noProof/>
          <w:szCs w:val="24"/>
          <w:lang w:val="bg-BG" w:eastAsia="bg-BG"/>
        </w:rPr>
        <w:t xml:space="preserve"> от крайния срок за приемане на офертите в процедурата)</w:t>
      </w:r>
      <w:r w:rsidR="00712530"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 и ще остане обвързваща за нас до изтичане на този срок. До подготвяне на официален договор, тази оферта, наред с известието от Ваша страна за възлагане на обществена поръчка ще формират обвързващо споразумение между двете страни.</w:t>
      </w:r>
    </w:p>
    <w:p w:rsidR="00F805DE" w:rsidRDefault="00F805DE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712530" w:rsidRPr="007E12DD" w:rsidRDefault="00712530" w:rsidP="00712530">
      <w:pPr>
        <w:ind w:firstLine="360"/>
        <w:jc w:val="both"/>
        <w:rPr>
          <w:rFonts w:ascii="Times New Roman" w:eastAsia="Calibri" w:hAnsi="Times New Roman"/>
          <w:b/>
          <w:noProof/>
          <w:position w:val="8"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position w:val="8"/>
          <w:szCs w:val="24"/>
          <w:lang w:val="bg-BG" w:eastAsia="bg-BG"/>
        </w:rPr>
        <w:t>Към техническото предложение прилагаме:</w:t>
      </w:r>
    </w:p>
    <w:p w:rsidR="00712530" w:rsidRPr="007E12DD" w:rsidRDefault="00712530" w:rsidP="00712530">
      <w:pPr>
        <w:spacing w:line="360" w:lineRule="auto"/>
        <w:ind w:firstLine="720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712530" w:rsidRPr="007E12DD" w:rsidRDefault="00712530" w:rsidP="00712530">
      <w:pPr>
        <w:spacing w:line="360" w:lineRule="auto"/>
        <w:ind w:firstLine="360"/>
        <w:rPr>
          <w:rFonts w:ascii="Times New Roman" w:eastAsia="Calibri" w:hAnsi="Times New Roman"/>
          <w:noProof/>
          <w:szCs w:val="24"/>
          <w:lang w:val="bg-BG" w:eastAsia="bg-BG"/>
        </w:rPr>
      </w:pPr>
      <w:r w:rsidRPr="00BE7D38">
        <w:rPr>
          <w:rFonts w:ascii="Times New Roman" w:eastAsia="Calibri" w:hAnsi="Times New Roman"/>
          <w:noProof/>
          <w:szCs w:val="24"/>
          <w:lang w:val="bg-BG" w:eastAsia="bg-BG"/>
        </w:rPr>
        <w:t>…………………………………………………………………………………</w:t>
      </w:r>
    </w:p>
    <w:p w:rsidR="00712530" w:rsidRPr="006D531C" w:rsidRDefault="00712530" w:rsidP="00712530">
      <w:pPr>
        <w:spacing w:line="360" w:lineRule="auto"/>
        <w:ind w:firstLine="7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 </w:t>
      </w:r>
      <w:bookmarkStart w:id="0" w:name="_GoBack"/>
      <w:bookmarkEnd w:id="0"/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[дата]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  <w:t xml:space="preserve">ПОДПИС </w:t>
      </w:r>
    </w:p>
    <w:p w:rsidR="00712530" w:rsidRPr="007E12DD" w:rsidRDefault="00712530" w:rsidP="00712530">
      <w:pPr>
        <w:spacing w:line="360" w:lineRule="auto"/>
        <w:ind w:firstLine="4320"/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  <w:t>ПЕЧАТ</w:t>
      </w:r>
    </w:p>
    <w:p w:rsidR="00712530" w:rsidRPr="007E12DD" w:rsidRDefault="00712530" w:rsidP="00712530">
      <w:pPr>
        <w:spacing w:line="360" w:lineRule="auto"/>
        <w:ind w:firstLine="43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[име и фамилия]</w:t>
      </w:r>
    </w:p>
    <w:p w:rsidR="00712530" w:rsidRPr="006D531C" w:rsidRDefault="00712530" w:rsidP="00712530">
      <w:pPr>
        <w:spacing w:line="360" w:lineRule="auto"/>
        <w:ind w:firstLine="43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[качество на представляващия участника]</w:t>
      </w:r>
    </w:p>
    <w:p w:rsidR="00712530" w:rsidRPr="007E12DD" w:rsidRDefault="00712530" w:rsidP="00712530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7E12DD">
        <w:rPr>
          <w:rFonts w:ascii="Times New Roman" w:eastAsia="MS Mincho" w:hAnsi="Times New Roman"/>
          <w:i/>
          <w:szCs w:val="24"/>
          <w:lang w:val="bg-BG" w:eastAsia="bg-BG"/>
        </w:rPr>
        <w:t>ПРИЛОЖЕНИЯ:</w:t>
      </w:r>
    </w:p>
    <w:p w:rsidR="00712530" w:rsidRPr="00BE7D38" w:rsidRDefault="00712530" w:rsidP="00712530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BE7D38">
        <w:rPr>
          <w:rFonts w:ascii="Times New Roman" w:eastAsia="MS Mincho" w:hAnsi="Times New Roman"/>
          <w:i/>
          <w:szCs w:val="24"/>
          <w:lang w:val="bg-BG" w:eastAsia="bg-BG"/>
        </w:rPr>
        <w:t>1.</w:t>
      </w:r>
      <w:r w:rsidRPr="00BE7D38">
        <w:rPr>
          <w:rFonts w:ascii="Times New Roman" w:eastAsia="MS Mincho" w:hAnsi="Times New Roman"/>
          <w:i/>
          <w:szCs w:val="24"/>
          <w:lang w:val="bg-BG" w:eastAsia="bg-BG"/>
        </w:rPr>
        <w:tab/>
      </w:r>
      <w:r>
        <w:rPr>
          <w:rFonts w:ascii="Times New Roman" w:eastAsia="MS Mincho" w:hAnsi="Times New Roman"/>
          <w:i/>
          <w:szCs w:val="24"/>
          <w:lang w:val="bg-BG" w:eastAsia="bg-BG"/>
        </w:rPr>
        <w:t>……………………………………………………</w:t>
      </w:r>
    </w:p>
    <w:p w:rsidR="00712530" w:rsidRPr="007E12DD" w:rsidRDefault="00712530" w:rsidP="00712530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BE7D38">
        <w:rPr>
          <w:rFonts w:ascii="Times New Roman" w:eastAsia="MS Mincho" w:hAnsi="Times New Roman"/>
          <w:i/>
          <w:szCs w:val="24"/>
          <w:lang w:val="bg-BG" w:eastAsia="bg-BG"/>
        </w:rPr>
        <w:t>2.</w:t>
      </w:r>
      <w:r>
        <w:rPr>
          <w:rFonts w:ascii="Times New Roman" w:eastAsia="MS Mincho" w:hAnsi="Times New Roman"/>
          <w:i/>
          <w:szCs w:val="24"/>
          <w:lang w:val="bg-BG" w:eastAsia="bg-BG"/>
        </w:rPr>
        <w:t xml:space="preserve"> ………………………………………………………</w:t>
      </w:r>
    </w:p>
    <w:p w:rsidR="00712530" w:rsidRPr="007E12DD" w:rsidRDefault="00712530" w:rsidP="0071253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7E12DD">
        <w:rPr>
          <w:rFonts w:ascii="Times New Roman" w:eastAsia="MS Mincho" w:hAnsi="Times New Roman"/>
          <w:i/>
          <w:szCs w:val="24"/>
          <w:lang w:val="bg-BG" w:eastAsia="bg-BG"/>
        </w:rPr>
        <w:t>3. Други документи – по преценка на участника.</w:t>
      </w:r>
    </w:p>
    <w:p w:rsidR="00712530" w:rsidRPr="007E12DD" w:rsidRDefault="00712530" w:rsidP="00712530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</w:p>
    <w:p w:rsidR="00712530" w:rsidRPr="007E12DD" w:rsidRDefault="00712530" w:rsidP="00712530">
      <w:pPr>
        <w:tabs>
          <w:tab w:val="left" w:pos="360"/>
        </w:tabs>
        <w:autoSpaceDE w:val="0"/>
        <w:jc w:val="both"/>
        <w:rPr>
          <w:rFonts w:ascii="Times New Roman" w:eastAsia="MS Mincho" w:hAnsi="Times New Roman"/>
          <w:b/>
          <w:i/>
          <w:szCs w:val="24"/>
          <w:lang w:val="bg-BG"/>
        </w:rPr>
      </w:pPr>
    </w:p>
    <w:p w:rsidR="00712530" w:rsidRPr="007E12DD" w:rsidRDefault="00712530" w:rsidP="00712530">
      <w:pPr>
        <w:jc w:val="both"/>
        <w:rPr>
          <w:rFonts w:ascii="Times New Roman" w:eastAsia="TimesNewRomanPSMT" w:hAnsi="Times New Roman"/>
          <w:szCs w:val="24"/>
          <w:lang w:val="bg-BG" w:eastAsia="bg-BG"/>
        </w:rPr>
      </w:pPr>
      <w:r w:rsidRPr="007E12DD">
        <w:rPr>
          <w:rFonts w:ascii="Times New Roman" w:eastAsia="TimesNewRomanPSMT" w:hAnsi="Times New Roman"/>
          <w:szCs w:val="24"/>
          <w:lang w:val="bg-BG" w:eastAsia="bg-BG"/>
        </w:rPr>
        <w:t xml:space="preserve">Дата:.....................................г.                                                  ………………………………..                   </w:t>
      </w:r>
    </w:p>
    <w:p w:rsidR="00712530" w:rsidRPr="006D531C" w:rsidRDefault="00712530" w:rsidP="00712530">
      <w:pPr>
        <w:jc w:val="both"/>
        <w:rPr>
          <w:rFonts w:ascii="Times New Roman" w:eastAsia="TimesNewRomanPS-ItalicMT" w:hAnsi="Times New Roman"/>
          <w:szCs w:val="24"/>
          <w:lang w:val="bg-BG" w:eastAsia="bg-BG"/>
        </w:rPr>
      </w:pPr>
      <w:r w:rsidRPr="007E12DD">
        <w:rPr>
          <w:rFonts w:ascii="Times New Roman" w:eastAsia="TimesNewRomanPS-ItalicMT" w:hAnsi="Times New Roman"/>
          <w:szCs w:val="24"/>
          <w:lang w:val="bg-BG" w:eastAsia="bg-BG"/>
        </w:rPr>
        <w:t xml:space="preserve">                                                                                                /име, фамилия, подпис и печат/</w:t>
      </w:r>
    </w:p>
    <w:p w:rsidR="00712530" w:rsidRPr="00BE7D38" w:rsidRDefault="00712530" w:rsidP="00712530">
      <w:pPr>
        <w:spacing w:line="240" w:lineRule="exact"/>
        <w:jc w:val="both"/>
        <w:rPr>
          <w:rFonts w:ascii="Times New Roman" w:hAnsi="Times New Roman"/>
        </w:rPr>
      </w:pPr>
    </w:p>
    <w:p w:rsidR="00712530" w:rsidRPr="00F805DE" w:rsidRDefault="00712530" w:rsidP="00C66C2E">
      <w:pPr>
        <w:spacing w:line="240" w:lineRule="exact"/>
        <w:jc w:val="both"/>
        <w:rPr>
          <w:rFonts w:ascii="Times New Roman" w:hAnsi="Times New Roman"/>
          <w:lang w:val="bg-BG"/>
        </w:rPr>
      </w:pPr>
    </w:p>
    <w:sectPr w:rsidR="00712530" w:rsidRPr="00F8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E"/>
    <w:rsid w:val="00712530"/>
    <w:rsid w:val="00C66C2E"/>
    <w:rsid w:val="00E66C30"/>
    <w:rsid w:val="00F805DE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C78F"/>
  <w15:chartTrackingRefBased/>
  <w15:docId w15:val="{A18287F0-F9F8-4A6A-8B91-CCF6EA1C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30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2019-01-18T11:17:00Z</dcterms:created>
  <dcterms:modified xsi:type="dcterms:W3CDTF">2019-01-18T11:44:00Z</dcterms:modified>
</cp:coreProperties>
</file>