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128" w:rsidRPr="002D16F2" w:rsidRDefault="00102128" w:rsidP="001021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02128" w:rsidRPr="002D16F2" w:rsidRDefault="00102128" w:rsidP="001021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102128" w:rsidRPr="002D16F2" w:rsidRDefault="00102128" w:rsidP="0010212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2D16F2">
        <w:rPr>
          <w:rFonts w:ascii="Times New Roman" w:hAnsi="Times New Roman" w:cs="Times New Roman"/>
          <w:i/>
          <w:sz w:val="24"/>
          <w:szCs w:val="24"/>
          <w:lang w:val="bg-BG"/>
        </w:rPr>
        <w:t xml:space="preserve">Приложение № </w:t>
      </w:r>
      <w:r>
        <w:rPr>
          <w:rFonts w:ascii="Times New Roman" w:hAnsi="Times New Roman" w:cs="Times New Roman"/>
          <w:i/>
          <w:sz w:val="24"/>
          <w:szCs w:val="24"/>
          <w:lang w:val="bg-BG"/>
        </w:rPr>
        <w:t>3</w:t>
      </w:r>
    </w:p>
    <w:p w:rsidR="00102128" w:rsidRPr="00102128" w:rsidRDefault="00102128" w:rsidP="001021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02128" w:rsidRPr="00102128" w:rsidRDefault="00102128" w:rsidP="001021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02128" w:rsidRPr="00102128" w:rsidRDefault="00271971" w:rsidP="001021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ТАБЛИЦА З</w:t>
      </w:r>
      <w:r w:rsidR="00102128" w:rsidRPr="00102128">
        <w:rPr>
          <w:rFonts w:ascii="Times New Roman" w:hAnsi="Times New Roman" w:cs="Times New Roman"/>
          <w:b/>
          <w:sz w:val="28"/>
          <w:szCs w:val="28"/>
          <w:lang w:val="bg-BG"/>
        </w:rPr>
        <w:t>А СЪОТВЕТСТВИЕ</w:t>
      </w:r>
    </w:p>
    <w:p w:rsidR="00102128" w:rsidRPr="00102128" w:rsidRDefault="00102128" w:rsidP="001021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102128" w:rsidRPr="00102128" w:rsidRDefault="00102128" w:rsidP="001021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307"/>
        <w:gridCol w:w="4159"/>
        <w:gridCol w:w="4159"/>
        <w:gridCol w:w="2559"/>
      </w:tblGrid>
      <w:tr w:rsidR="00102128" w:rsidRPr="00EA60FF" w:rsidTr="00F44302">
        <w:trPr>
          <w:cantSplit/>
          <w:tblHeader/>
        </w:trPr>
        <w:tc>
          <w:tcPr>
            <w:tcW w:w="738" w:type="dxa"/>
            <w:shd w:val="clear" w:color="auto" w:fill="D9D9D9" w:themeFill="background1" w:themeFillShade="D9"/>
          </w:tcPr>
          <w:p w:rsidR="00102128" w:rsidRPr="00EA60FF" w:rsidRDefault="00102128" w:rsidP="001021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№</w:t>
            </w:r>
          </w:p>
        </w:tc>
        <w:tc>
          <w:tcPr>
            <w:tcW w:w="43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128" w:rsidRPr="00EA60FF" w:rsidRDefault="00102128" w:rsidP="001021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Описание / параметър / компонент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2128" w:rsidRPr="00EA60FF" w:rsidRDefault="00102128" w:rsidP="001021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Изискване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2128" w:rsidRPr="00102128" w:rsidRDefault="00102128" w:rsidP="001021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02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Предложение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02128" w:rsidRPr="00102128" w:rsidRDefault="00102128" w:rsidP="0010212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1021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Бележки</w:t>
            </w: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F2F2F2" w:themeFill="background1" w:themeFillShade="F2"/>
          </w:tcPr>
          <w:p w:rsidR="00102128" w:rsidRPr="00EA60FF" w:rsidRDefault="00102128" w:rsidP="00102128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84" w:type="dxa"/>
            <w:gridSpan w:val="4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Сървър тип 1 – 2 броя</w:t>
            </w: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Общо описание, производител, модел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се предостави физически сървър предназначен за сървърна виртуализация (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Oracle VM)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Форм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фактор,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 монтаж в стандартен 19“ шкаф, минимум 2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Процесор,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Инсталирани 2 броя процесори,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4 ядра,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GHz,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последно поколение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Xeon E5 v4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или еквивалентен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Оперативна памет,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512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GB, 2400MHz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Оперативна памет, поддръжка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Минимум 1.5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TB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Капацитет за операционна система,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2 броя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HDD, 300 GB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10K 12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SAS,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конфигурирани в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RAID 1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група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Свързаност,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LAN,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 порта 10GBase-T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порта 1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Gbps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Свързаност,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2 порта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FC 16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Gbps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Разширителни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модули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8 броя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PCIe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3.0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Захранване,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Резервирано,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 220-240V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Управление,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 включен лиценз за отдалечено управление чрез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с възможност за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KVM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конзола и емулация на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CD/DVD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Допълнителни кабели и модули,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се достави със всички кабели за свързването му към инфраструктурата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Гаранция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–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минимум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реакция – максимум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bookmarkStart w:id="0" w:name="OLE_LINK43"/>
            <w:bookmarkStart w:id="1" w:name="OLE_LINK44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 години от производителя, с поддръжка в работно време и време за реакция до 4 часа.</w:t>
            </w:r>
            <w:bookmarkEnd w:id="0"/>
            <w:bookmarkEnd w:id="1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F2F2F2" w:themeFill="background1" w:themeFillShade="F2"/>
          </w:tcPr>
          <w:p w:rsidR="00102128" w:rsidRPr="00EA60FF" w:rsidRDefault="00102128" w:rsidP="00102128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Сървър тип 2 – 8 броя</w:t>
            </w:r>
          </w:p>
        </w:tc>
        <w:tc>
          <w:tcPr>
            <w:tcW w:w="41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Общо описание, производител, модел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се предостави физически сървър предназначен за сървърна виртуализация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Форм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фактор,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 монтаж в стандартен 19“ шкаф, минимум 2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RU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Процесор,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Инсталирани 2 броя процесори,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4 ядра,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2.4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GHz,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последно поколение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Xeon E5 v4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или еквивалентен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Оперативна памет,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512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GB, 2400MHz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Оперативна памет, поддръжка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Минимум 1.5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TB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Капацитет за операционна система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се предостави капацитет за инсталиране на операционна система за виртуализация (диск,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USB flash, SD)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Свързаност,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LAN,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 порта 10GBase-T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порта 1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Gbps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Свързаност,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SAN,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2 порта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FC 16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Gbps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Разширителни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модули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8 броя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PCIe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3.0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Захранване,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Резервирано,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AC 220-240V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Управление,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 включен лиценз за отдалечено управление чрез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с възможност за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KVM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конзола и емулация на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CD/DVD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Допълнителни кабели и модули,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се достави със всички кабели за свързването му към инфраструктурата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Гаранция – минимум, реакция – максимум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 години от производителя, с поддръжка в работно време и време за реакция до 4 часа.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F2F2F2" w:themeFill="background1" w:themeFillShade="F2"/>
          </w:tcPr>
          <w:p w:rsidR="00102128" w:rsidRPr="00EA60FF" w:rsidRDefault="00102128" w:rsidP="00102128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Дисков масив тип 1 – 1 брой</w:t>
            </w:r>
          </w:p>
        </w:tc>
        <w:tc>
          <w:tcPr>
            <w:tcW w:w="41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Общо описание, производител, модел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се предложи дисков масив с изцяло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Flash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базирана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Scale-Out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архитектура.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Решението трябва да използва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Scale-Out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технология, при която при добавянето на капацитет линейно се разширяват и останалите компоненти на системата (памет,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процесорна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мощ, портове и др.)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 монтаж в 19“ шкаф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Контролери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Резервирани контролери за управление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капацитет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10 TB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Raw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капацитет съставен изцяло от SSD (FLASH) дискове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Използваем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капацитет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7.5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TiB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данните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едновременно отпадане на 2 диск без загуба на данни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Свързаност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Мин. 4 x 8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Gbps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FC 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Мин. 4 x 10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Gbps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Ethernet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ISCSI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Мин. 2 x 1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Gbps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 управление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Функционалност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включена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предложението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поддържа Data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Deduplication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inline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)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поддържа Data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Compression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inline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)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поддържа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Thin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Provisioning</w:t>
            </w:r>
            <w:proofErr w:type="spellEnd"/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поддържа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Snapshots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 това число: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Консистентни групи – възможност за създаване на едновременен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Snapshot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група от дялове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Snapshots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предназначени само за четене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Snapshots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с възможност за използването им за четене и писани (като стандартни дялове)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Функционалност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Възможност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Възможност за криптиране на данните чрез SED –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самокриптиращи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се дискове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Захранване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Резервирано захранване, AC 220 – 240 V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Обновяване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системата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Обновяването на системния софтуер да е без нужда от прекъсване на работата на масива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предоставя управление посредством GUI (графичен интерфейс)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предоставя управление посредством CLI (команден ред)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Допълнителни кабели и модули,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се достави със всички кабели за свързването му към инфраструктурата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Гаранция – минимум, реакция – максимум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bookmarkStart w:id="2" w:name="OLE_LINK45"/>
            <w:bookmarkStart w:id="3" w:name="OLE_LINK46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3 години от производителя, с поддръжка 24x7 и време за реакция до 4 часа. </w:t>
            </w:r>
            <w:bookmarkEnd w:id="2"/>
            <w:bookmarkEnd w:id="3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F2F2F2" w:themeFill="background1" w:themeFillShade="F2"/>
          </w:tcPr>
          <w:p w:rsidR="00102128" w:rsidRPr="00EA60FF" w:rsidRDefault="00102128" w:rsidP="00102128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Дисков масив тип </w:t>
            </w: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– 1 брой</w:t>
            </w:r>
          </w:p>
        </w:tc>
        <w:tc>
          <w:tcPr>
            <w:tcW w:w="41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Общо описание, производител, модел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pStyle w:val="ad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Да се предостави дисков масив за нуждите на сървърната виртуализация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pStyle w:val="ad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pStyle w:val="ad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Форм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фактор,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 монтаж в 19“ шкаф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Контролери,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Резервирани контролери за управление/ 48 GB обща кеш памет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Допълнителна кеш памет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има възможност за разширение на кеш паметта чрез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Flash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дискове, масивът да бъде инсталиран с 800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GB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допълнителна използваема кеш памет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Поддържани видове дискове,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SAS, NL-SAS и SSD едновременно в една система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Поддръжка на 3.5“ и 2.5“ дискове едновременно в една система.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Максимален брой дискове,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разширение до 150 диска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Дискови интерфейси,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12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Gbps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SAS, резервирани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Подмяна по време на работа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подмяна на дисковете по време на работа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Използваем капацитет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дискове,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24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TiB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реализирани с 1.2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TB SAS 10K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дискове (или с дискове с по-малък капацитет) + 2 диска за защита при отпадане (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Hot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Spare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Използваем капацитет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дискове,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TiB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реализирани с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TB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NL-SAS 7200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дискове (или с дискове с по-малък капацитет) + 1 диск за защита при отпадане (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Hot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Spare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включва лиценз за автоматично разпределение на данните между бързи и бавни дискове, в зависимост на натоварването (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Automatic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Tiering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Поддръжка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Thin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Provisioning</w:t>
            </w:r>
            <w:proofErr w:type="spellEnd"/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Поддръжка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Snapshots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Услуги и протоколи,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Поддръжка на файлови услуги – NFS(3,4,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.1), SMB(1,2,3), FTP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Поддръжка на блокови услуги – FC,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iSCSI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Свързаност,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4 броя 10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GbaseT</w:t>
            </w:r>
            <w:proofErr w:type="spellEnd"/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4 броя 16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Gbps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FC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Управление,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предоставя управление посредством GUI (графичен интерфейс)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предоставя управление посредством CLI (команден ред)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Допълнителни кабели и модули,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се достави със всички кабели за свързването му към инфраструктурата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Гаранция – минимум, реакция – максимум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3 години от производителя, с поддръжка 24x7 и време за реакция до 4 часа 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F2F2F2" w:themeFill="background1" w:themeFillShade="F2"/>
          </w:tcPr>
          <w:p w:rsidR="00102128" w:rsidRPr="00EA60FF" w:rsidRDefault="00102128" w:rsidP="00102128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Дисков масив тип 3 – 1 брой</w:t>
            </w:r>
          </w:p>
        </w:tc>
        <w:tc>
          <w:tcPr>
            <w:tcW w:w="41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Общо описание, производител, модел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pStyle w:val="ad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Да се предостави дисков масив за нуждите на софтуера за резервни копия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pStyle w:val="ad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pStyle w:val="ad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Форм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фактор,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 монтаж в 19“ шкаф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Контролери,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Резервирани контролери за управление/ 48 GB обща кеш памет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Допълнителна кеш памет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има възможност за разширение на кеш паметта чрез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Flash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дискове, масивът да бъде инсталиран с 400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GB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допълнителна използваема кеш памет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Поддържани видове дискове,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SAS, NL-SAS и SSD едновременно в една система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Поддръжка на 3.5“ и 2.5“ дискове едновременно в една система.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Максимален брой дискове,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разширение до 150 диска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Дискови интерфейси,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12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Gbps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SAS, резервирани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Подмяна по време на работа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подмяна на дисковете по време на работа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Използваем капацитет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дискове,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TiB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реализирани с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TB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NL-SAS 7200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дискове (или с дискове с по-малък капацитет) +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диск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 защита при отпадане (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Hot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Spare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Поддръжка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Thin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Provisioning</w:t>
            </w:r>
            <w:proofErr w:type="spellEnd"/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Поддръжка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Snapshots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Услуги и протоколи,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Поддръжка на файлови услуги – NFS(3,4,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.1), SMB(1,2,3), FTP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Поддръжка на блокови услуги – FC,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iSCSI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Свързаност,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4 броя 10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GbaseT</w:t>
            </w:r>
            <w:proofErr w:type="spellEnd"/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4 броя 16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Gbps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FC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Управление,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предоставя управление посредством GUI (графичен интерфейс)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предоставя управление посредством CLI (команден ред)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Допълнителни кабели и модули,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се достави със всички кабели за свързването му към инфраструктурата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Гаранция – минимум, реакция – максимум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3 години от производителя, с поддръжка 24x7 и време за реакция до 4 часа 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F2F2F2" w:themeFill="background1" w:themeFillShade="F2"/>
          </w:tcPr>
          <w:p w:rsidR="00102128" w:rsidRPr="00EA60FF" w:rsidRDefault="00102128" w:rsidP="00102128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Софтуер за сървърна виртуализация</w:t>
            </w:r>
          </w:p>
        </w:tc>
        <w:tc>
          <w:tcPr>
            <w:tcW w:w="41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Общо описание, производител, модел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pStyle w:val="ad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Да се доставят лицензи за софтуер за виртуализация на 8 бр. сървъри тип 2 с лиценз за общо централизирано управление.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pStyle w:val="ad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pStyle w:val="ad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Виртуализация,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Пълна виртуализация на паметта, процесорите, логическите дискове и мрежовите адаптери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Хардуерна виртуализация,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Поддръжка на технологии за хардуерна виртуализация, като AMD-В,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Intel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VT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няма ограничени в броя на виртуалните машини работещи върху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виртуализираните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сървъри.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подържа 64-битови гост-операционни системи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Поддръжка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Boot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from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SAN за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хипервайзъра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 може да премества виртуални машини от един физически хост към друг в реално време, без прекъсване на работата и.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Автоматично стартиране на виртуална машина на нов хост в случай на хардуерен проблем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може да се добавя CPU, RAM, HDD, мрежов адаптер към виртуалната машина в реално време, без прекъсване на работата и.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динамично разпределение на натоварването, чрез автоматично разпределение на работата на виртуалните машини върху виртуалните хостове.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Система за автоматично динамично управление на разпределението на физическите ресурси между виртуалните машини, способна в реално време да заделя 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необходимите ресурси за виртуални машини, по предварително зададени правила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оптимизирана консумацията на електроенергия на виртуалната инфраструктура, чрез консолидиране на работещите виртуални машини върху по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малък брой хостове и спирането на освободените хостове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Динамично балансиране на дисковото пространство чрез следене на натоварването на дисковите системи.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Директно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презентиране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логически дялове (LUN) от хост средата към виртуалните машини.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ограничаване на трафика на мрежовите интерфейси на всяка виртуална машина.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създаване и управление на виртуален мрежов комутатор, който обхваща всички сървъри за виртуализация в клъстера.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Възможност за инсталация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хипервайзора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върху USB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у-ва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SD карти и т.н преносими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у-ва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поддържа управление и наблюдение на виртуалните машини и цялостната платформа чрез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web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клиент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Поддръжка,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 години от производителя, с включени подновявания до по-нови версии и поддръжка в работно време.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F2F2F2" w:themeFill="background1" w:themeFillShade="F2"/>
          </w:tcPr>
          <w:p w:rsidR="00102128" w:rsidRPr="00EA60FF" w:rsidRDefault="00102128" w:rsidP="00102128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bookmarkStart w:id="4" w:name="OLE_LINK68"/>
            <w:bookmarkStart w:id="5" w:name="OLE_LINK69"/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Софтуер за създаване и управление на резервни копия</w:t>
            </w:r>
            <w:bookmarkEnd w:id="4"/>
            <w:bookmarkEnd w:id="5"/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 xml:space="preserve"> (</w:t>
            </w: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Backup</w:t>
            </w: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/</w:t>
            </w: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Restore)</w:t>
            </w:r>
          </w:p>
        </w:tc>
        <w:tc>
          <w:tcPr>
            <w:tcW w:w="41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Общо описание, производител, модел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се достави софтуер за създаване и управление на резервни копия. 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Лицензи,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се достави лиценз за защита на всички виртуални машини (без ограничение на броя им) работещи на специфицираните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виртуализирани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сървъри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и 2.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Софтуера да поддържа предложената виртуализация в предходната точка, както и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Oracle VM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Лицензи,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се достави допълнителен лиценз за интегрирана защита на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Oracle, Microsoft SQL, Informix, MySQL,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 големина на данните 2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TB.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поддържа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глобална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дедупликация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данните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не изисква инсталиране на допълнителен софтуер върху виртуалните машини („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agentless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“) за защитата им.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възстановяване на единични обекти/файлове от резервно копие (без допълнително инсталиране на софтуер върху виртуалните машини)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Възможност за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репликиране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резервни копия в резервен център за данни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Пълна поддръжка на лентови библиотеки и виртуални лентови библиотеки.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Възможност за автоматично откриване на нови виртуални машини и прибавянето им към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backup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задачите.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временно стартиране на виртуална машина директно от запазеното копие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Пълна поддръжка и защита на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Oracle, Oracle RAC, Oracle ASM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Oracle Data Guard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инфраструктури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интеграция с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RMAN.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възстановяване на отделни таблици и бази.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Пълна поддръжка и защита на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MS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Sql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Informix и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MySql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, с възможност за извършване на цялостно копие или на копие на отделни бази.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създаване на отчети (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reports).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Табла за наблюдение на производителност и състоянието на системата.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Управление на всички функционалности през единична централизирана конзола.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tcBorders>
              <w:bottom w:val="single" w:sz="4" w:space="0" w:color="auto"/>
            </w:tcBorders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Поддръжка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 години от производителя, с включени подновявания до по-нови версии и поддръжка в работно време.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F2F2F2" w:themeFill="background1" w:themeFillShade="F2"/>
          </w:tcPr>
          <w:p w:rsidR="00102128" w:rsidRPr="00EA60FF" w:rsidRDefault="00102128" w:rsidP="00102128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Мрежови комутатор – 1 брой</w:t>
            </w:r>
          </w:p>
        </w:tc>
        <w:tc>
          <w:tcPr>
            <w:tcW w:w="41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Общо описание, производител, модел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се достави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L2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мрежови комутатор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Интерфейси,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бъде оборудван с: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броя 10/100/1000 RJ45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ethernet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порта (медни)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4 броя 1GE SFP слота за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uplink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Хардуер,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512MB DRAM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128 MB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Flash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памет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Производителност,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216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Gbps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комутираща матрица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107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Mpps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ниво на предаване на данни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16000 MAC адреса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9198 байта MTU за L3 пакет за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гигабит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етернет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портовете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Автоматично активиране на порт, който е бил деактивиран поради грешка в мрежата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поддържа TFTP и NTP протоколи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поддържа следните механизми за превенция на цикли в мрежата: 802.1s, 802.1d или еквивалентни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Проследяване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Layer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2 маршрут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поддържа LACP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Link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Aggregation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Control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Protocol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поддържа минимум 4096 VLAN идентификационни номера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минимум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поддържа 1023 активни VLAN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поддържа технология за отдалечено наблюдение, анализиране и управление на трафика.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поддържа 802.1p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class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of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service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CoS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) 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поддържа класификация на базата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source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destination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IP адреси, MAC адреси или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Layer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4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Transmission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Control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Protocol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/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User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Datagram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Protocol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(TCP/UDP) номера на портове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Минимум 8 изходящи опашки за порт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поддържа DSCP класифициране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поддържа автоматично осигуряване на качество на услугите включващо класифициране на трафика и конфигурация на изходящите опашки на всеки порт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поддържа динамично присъединяване на VLAN към потребител независимо от това къде е свързан потребителя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позволява прилагането на политики за сигурност за всеки отделен порт на комутатора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поддържа технология за отдалечен достъп посредством SSH протокол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Да поддържа SNMP v1, v2, v3 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поддържа технология предоставяща ААА- RADIUS, TACACS+ или еквивалентни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поддържа DHCP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snooping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предотвратява възможността крайни устройства, които не са част от администрираната мрежа да приемат ролята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Spanning-Tree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root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комутатори.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поддържа поне 625 IPv4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Security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ACЕ записа  и 500 IPv4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QoS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ACE записа 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UL 60950-1, второ издание 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CAN/CSA-C22.2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No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60950-1, второ издание 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EN 60950-1, второ издание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IEC 60950-1, второ издание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AS/NZS 60950-1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47CFR част 15 клас A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EN55022 клас A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ICES003 клас 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VCCI клас 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CNS13438 клас A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EN61000-3-2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EN61000-3-3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KN22 клас 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EN55024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CISPR24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EN300386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KN24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 и сертификати,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Reduction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of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Hazardous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Substances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(ROHS) включващ директива 2011/65/EU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Управление, задължително</w:t>
            </w:r>
          </w:p>
        </w:tc>
        <w:tc>
          <w:tcPr>
            <w:tcW w:w="4159" w:type="dxa"/>
            <w:shd w:val="clear" w:color="auto" w:fill="auto"/>
            <w:vAlign w:val="center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Възможност за достъп до команден интерфейс за управление чрез конзола/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telnet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/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ssh</w:t>
            </w:r>
            <w:proofErr w:type="spellEnd"/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Окомплектовка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бъде окомплектован с необходимите монтажни елементи за монтаж в 19” комуникационен шкаф, максимална височина 1 RU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tcBorders>
              <w:bottom w:val="single" w:sz="4" w:space="0" w:color="auto"/>
            </w:tcBorders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Гаранция – минимум, реакция – максимум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 години от производителя, с поддръжка в работно време и време за реакция до 4 часа.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F2F2F2" w:themeFill="background1" w:themeFillShade="F2"/>
          </w:tcPr>
          <w:p w:rsidR="00102128" w:rsidRPr="00EA60FF" w:rsidRDefault="00102128" w:rsidP="00102128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bookmarkStart w:id="6" w:name="OLE_LINK82"/>
            <w:bookmarkStart w:id="7" w:name="OLE_LINK83"/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Мрежов оптичен преобразовател – 2 броя</w:t>
            </w:r>
            <w:bookmarkEnd w:id="6"/>
            <w:bookmarkEnd w:id="7"/>
          </w:p>
        </w:tc>
        <w:tc>
          <w:tcPr>
            <w:tcW w:w="41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tcBorders>
              <w:bottom w:val="single" w:sz="4" w:space="0" w:color="auto"/>
            </w:tcBorders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Общо описание, производител, модел</w:t>
            </w:r>
          </w:p>
        </w:tc>
        <w:tc>
          <w:tcPr>
            <w:tcW w:w="4159" w:type="dxa"/>
            <w:tcBorders>
              <w:bottom w:val="single" w:sz="4" w:space="0" w:color="auto"/>
            </w:tcBorders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1000BASE-LX/LH оптичен преобразувател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за разстояния до 10 км</w:t>
            </w:r>
          </w:p>
        </w:tc>
        <w:tc>
          <w:tcPr>
            <w:tcW w:w="4159" w:type="dxa"/>
            <w:tcBorders>
              <w:bottom w:val="single" w:sz="4" w:space="0" w:color="auto"/>
            </w:tcBorders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F2F2F2" w:themeFill="background1" w:themeFillShade="F2"/>
          </w:tcPr>
          <w:p w:rsidR="00102128" w:rsidRPr="00EA60FF" w:rsidRDefault="00102128" w:rsidP="00102128">
            <w:pPr>
              <w:pStyle w:val="ab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66" w:type="dxa"/>
            <w:gridSpan w:val="2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Система за мрежова сигурност за идентифициране на потребителите и крайните устройства в мрежата, и управление на достъпа – 1 брой</w:t>
            </w:r>
          </w:p>
        </w:tc>
        <w:tc>
          <w:tcPr>
            <w:tcW w:w="41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  <w:shd w:val="clear" w:color="auto" w:fill="F2F2F2" w:themeFill="background1" w:themeFillShade="F2"/>
          </w:tcPr>
          <w:p w:rsidR="00102128" w:rsidRPr="00EA60FF" w:rsidRDefault="00102128" w:rsidP="005960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Общо описание, производител, модел, продуктов номер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Резервирана система за мрежова сигурност за идентифициране на потребителите и крайните устройства в мрежата, и управление на достъпа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Брой поддържани крайни точки, минимум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Системата да включва лиценз за управление на минимум 1000 броя крайни устройства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Управление на мрежови устройства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Системата да включва лиценз за администрация и контрол на мрежови устройства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Операционна система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Системата да включва операционна система и база данни, за които не е необходим допълнителен лиценз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Виртуализация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Системата да включва лицензи за инсталация на минимум 2 виртуални машини, ако такива са необходими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Архитектура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Системата да има разпределена архитектура с цел по-висока надеждност и по-голяма производителност, която да отделя административните и мониторинг функционалности от контролните такива.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AAA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Системата да поддържа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автентификация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,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оторизация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отчетност (ААА) на мрежови устройства  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Интеграция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Системата да има възможност за интеграция с SIEM системи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Стандарти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Системата да поддържа RADIUS и 802.1x стандарти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IPv6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поддръжка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Системата да поддържа IPv6 крайни точки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Функционалности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контрол на достъпа до мрежата чрез AAA и IEEE-802.1X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управление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guest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потребители 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криптиране на връзките чрез между потребителите и мрежовите устройства чрез 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802.1AE (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MACSec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) 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API интерфейс</w:t>
            </w:r>
          </w:p>
        </w:tc>
        <w:tc>
          <w:tcPr>
            <w:tcW w:w="4159" w:type="dxa"/>
          </w:tcPr>
          <w:p w:rsidR="00102128" w:rsidRPr="00EA60FF" w:rsidRDefault="00102128" w:rsidP="0010212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102128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Web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управление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Системата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ab/>
              <w:t xml:space="preserve">да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ab/>
              <w:t xml:space="preserve">поддържа централизиран уеб интерфейс за управление  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CLI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интерфейс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Системата да поддържа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Command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</w:p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Line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Interface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(CLI)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Интеграция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Системата да поддържа интеграция с: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Microsoft Active Directory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Lightweight Directory Access Protocol (LDAP)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RADIUS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Системи за идентификация с еднократна парола 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Да поддръжка на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Open Database Connectivity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(ODBC).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RADIUS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поддръжка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Системата да поддържа RADIUS протокол за удостоверяване,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оторизация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отчетност (AAA)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Протоколи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Поддръжка на следните протоколи: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PAP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MS-CHAP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Extensible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Authentication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Protocol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(EAP)-MD5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Protected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EAP (PEAP)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EAP-Flexible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Authentication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via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Secure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Tunneling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(FAST)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EAP‑Transport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Layer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Security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(TLS)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EAP-Tunneled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Transport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Layer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Security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(TTLS)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TACACS+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поддръжка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Поддръжка на TACACS+ за извършване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автентикация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и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оторизация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на потребители при осъществяването на достъп до устройства, които поддържат TACACS+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Потребителски достъп до мрежови устройства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Поддръжка на осигуряване на нива на достъп до определени команди в мрежовите устройства за различни потребители и групи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Контрол на достъпа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Системата да предоставя широк набор от опции за контрол на достъпа: 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динамично зареждани в мрежовите устройства списъци за контрол на достъпа 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динамично назначаване на VLAN-и към потребителите 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URL пренасочвания на потребителите 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именуване на локално конфигурирани в мрежовите устройства списъци за контрол на достъпа 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групи за сигурност с различни тагове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Guest </w:t>
            </w: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функционалност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Системата да поддържа вградени методи за идентификация и обслужване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guest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потребители в мрежата, като: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web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портал за идентификация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guest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потребители </w:t>
            </w:r>
          </w:p>
          <w:p w:rsidR="00102128" w:rsidRPr="00EA60FF" w:rsidRDefault="00102128" w:rsidP="0010212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568" w:hanging="28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web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портал за идентификация на 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guest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потребители, управлявани от специално оторизирани потребители, които не са част от организацията (</w:t>
            </w:r>
            <w:proofErr w:type="spellStart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sponsors</w:t>
            </w:r>
            <w:proofErr w:type="spellEnd"/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)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Бъдещо разширение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Да има възможност за добавяне на функционалност позволяваща профилиране на крайни устройства, които се свързват към мрежовата инфраструктура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  <w:tr w:rsidR="00102128" w:rsidRPr="00EA60FF" w:rsidTr="00F44302">
        <w:trPr>
          <w:cantSplit/>
        </w:trPr>
        <w:tc>
          <w:tcPr>
            <w:tcW w:w="738" w:type="dxa"/>
            <w:shd w:val="clear" w:color="auto" w:fill="auto"/>
          </w:tcPr>
          <w:p w:rsidR="00102128" w:rsidRPr="00EA60FF" w:rsidRDefault="00102128" w:rsidP="00102128">
            <w:pPr>
              <w:pStyle w:val="ab"/>
              <w:numPr>
                <w:ilvl w:val="1"/>
                <w:numId w:val="1"/>
              </w:numPr>
              <w:spacing w:after="0" w:line="240" w:lineRule="auto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7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Гаранция</w:t>
            </w:r>
          </w:p>
        </w:tc>
        <w:tc>
          <w:tcPr>
            <w:tcW w:w="4159" w:type="dxa"/>
            <w:shd w:val="clear" w:color="auto" w:fill="auto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A60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 години от производителя, с включени подновявания до по-нови версии и поддръжка в работно време.</w:t>
            </w:r>
          </w:p>
        </w:tc>
        <w:tc>
          <w:tcPr>
            <w:tcW w:w="41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2559" w:type="dxa"/>
          </w:tcPr>
          <w:p w:rsidR="00102128" w:rsidRPr="00EA60FF" w:rsidRDefault="00102128" w:rsidP="0059605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</w:tr>
    </w:tbl>
    <w:p w:rsidR="00F44302" w:rsidRPr="000005B1" w:rsidRDefault="00F44302" w:rsidP="00F44302">
      <w:pPr>
        <w:spacing w:before="240" w:after="24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</w:pPr>
      <w:r w:rsidRPr="000005B1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Забележка:</w:t>
      </w:r>
      <w:r w:rsidRPr="00F44302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Навсякъде в таблицата, </w:t>
      </w:r>
      <w:r w:rsidRPr="00F443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в</w:t>
      </w:r>
      <w:r w:rsidRPr="000005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bg-BG"/>
        </w:rPr>
        <w:t>сяко посочване на стандарт, следва да се чете допълнено с думите „или еквивалент“.</w:t>
      </w:r>
    </w:p>
    <w:p w:rsidR="00102128" w:rsidRPr="00633A41" w:rsidRDefault="00102128" w:rsidP="00F44302">
      <w:pPr>
        <w:spacing w:before="240" w:after="240" w:line="240" w:lineRule="auto"/>
        <w:ind w:left="1418" w:hanging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  <w:bookmarkStart w:id="8" w:name="_GoBack"/>
      <w:bookmarkEnd w:id="8"/>
    </w:p>
    <w:sectPr w:rsidR="00102128" w:rsidRPr="00633A41" w:rsidSect="00BD7190">
      <w:headerReference w:type="default" r:id="rId8"/>
      <w:footerReference w:type="default" r:id="rId9"/>
      <w:pgSz w:w="16840" w:h="11907" w:orient="landscape" w:code="9"/>
      <w:pgMar w:top="1134" w:right="567" w:bottom="567" w:left="56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78C" w:rsidRDefault="00D4078C" w:rsidP="00C942EA">
      <w:pPr>
        <w:spacing w:after="0" w:line="240" w:lineRule="auto"/>
      </w:pPr>
      <w:r>
        <w:separator/>
      </w:r>
    </w:p>
  </w:endnote>
  <w:endnote w:type="continuationSeparator" w:id="0">
    <w:p w:rsidR="00D4078C" w:rsidRDefault="00D4078C" w:rsidP="00C9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single" w:sz="12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85" w:type="dxa"/>
        <w:bottom w:w="85" w:type="dxa"/>
      </w:tblCellMar>
      <w:tblLook w:val="04A0" w:firstRow="1" w:lastRow="0" w:firstColumn="1" w:lastColumn="0" w:noHBand="0" w:noVBand="1"/>
    </w:tblPr>
    <w:tblGrid>
      <w:gridCol w:w="2893"/>
      <w:gridCol w:w="11293"/>
      <w:gridCol w:w="1736"/>
    </w:tblGrid>
    <w:tr w:rsidR="009C4825" w:rsidRPr="00264742" w:rsidTr="00BD7190">
      <w:tc>
        <w:tcPr>
          <w:tcW w:w="2835" w:type="dxa"/>
        </w:tcPr>
        <w:p w:rsidR="009C4825" w:rsidRPr="00332288" w:rsidRDefault="00D640DA" w:rsidP="009C4825">
          <w:pPr>
            <w:pStyle w:val="a5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3B89EAFD" wp14:editId="3508AF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38506" cy="597652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6" t="11554" r="5486" b="-1"/>
                        <a:stretch/>
                      </pic:blipFill>
                      <pic:spPr bwMode="auto">
                        <a:xfrm>
                          <a:off x="0" y="0"/>
                          <a:ext cx="1438506" cy="597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1067" w:type="dxa"/>
        </w:tcPr>
        <w:p w:rsidR="003A2E9A" w:rsidRPr="00D640DA" w:rsidRDefault="003A2E9A" w:rsidP="003A2E9A">
          <w:pPr>
            <w:pStyle w:val="a3"/>
            <w:tabs>
              <w:tab w:val="center" w:pos="4421"/>
              <w:tab w:val="left" w:pos="7725"/>
            </w:tabs>
            <w:spacing w:line="160" w:lineRule="exact"/>
            <w:jc w:val="center"/>
            <w:rPr>
              <w:rFonts w:ascii="Times New Roman" w:hAnsi="Times New Roman" w:cs="Times New Roman"/>
              <w:b/>
              <w:sz w:val="16"/>
              <w:szCs w:val="16"/>
              <w:lang w:val="bg-BG"/>
            </w:rPr>
          </w:pPr>
          <w:r w:rsidRPr="00D640DA">
            <w:rPr>
              <w:rFonts w:ascii="Times New Roman" w:hAnsi="Times New Roman" w:cs="Times New Roman"/>
              <w:b/>
              <w:sz w:val="16"/>
              <w:szCs w:val="16"/>
              <w:lang w:val="bg-BG"/>
            </w:rPr>
            <w:t>ПРОЕКТ № BG05SFOP001-1.002-0008-C01</w:t>
          </w:r>
          <w:r w:rsidR="000F6C33" w:rsidRPr="00D640DA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Pr="00D640DA">
            <w:rPr>
              <w:rFonts w:ascii="Times New Roman" w:hAnsi="Times New Roman" w:cs="Times New Roman"/>
              <w:b/>
              <w:sz w:val="16"/>
              <w:szCs w:val="16"/>
              <w:lang w:val="bg-BG"/>
            </w:rPr>
            <w:t>/</w:t>
          </w:r>
          <w:r w:rsidR="000F6C33" w:rsidRPr="00D640DA">
            <w:rPr>
              <w:rFonts w:ascii="Times New Roman" w:hAnsi="Times New Roman" w:cs="Times New Roman"/>
              <w:b/>
              <w:sz w:val="16"/>
              <w:szCs w:val="16"/>
            </w:rPr>
            <w:t xml:space="preserve"> </w:t>
          </w:r>
          <w:r w:rsidRPr="00D640DA">
            <w:rPr>
              <w:rFonts w:ascii="Times New Roman" w:hAnsi="Times New Roman" w:cs="Times New Roman"/>
              <w:b/>
              <w:sz w:val="16"/>
              <w:szCs w:val="16"/>
              <w:lang w:val="bg-BG"/>
            </w:rPr>
            <w:t xml:space="preserve">31.01.2017 г. </w:t>
          </w:r>
          <w:r w:rsidR="00C9549A">
            <w:rPr>
              <w:rFonts w:ascii="Times New Roman" w:hAnsi="Times New Roman" w:cs="Times New Roman"/>
              <w:b/>
              <w:sz w:val="16"/>
              <w:szCs w:val="16"/>
              <w:lang w:val="bg-BG"/>
            </w:rPr>
            <w:br/>
          </w:r>
          <w:r w:rsidRPr="00D640DA">
            <w:rPr>
              <w:rFonts w:ascii="Times New Roman" w:hAnsi="Times New Roman" w:cs="Times New Roman"/>
              <w:b/>
              <w:sz w:val="16"/>
              <w:szCs w:val="16"/>
              <w:lang w:val="bg-BG"/>
            </w:rPr>
            <w:t xml:space="preserve">„Привеждане на информационните активи на НСИ в съответствие с изискванията на </w:t>
          </w:r>
          <w:proofErr w:type="spellStart"/>
          <w:r w:rsidRPr="00D640DA">
            <w:rPr>
              <w:rFonts w:ascii="Times New Roman" w:hAnsi="Times New Roman" w:cs="Times New Roman"/>
              <w:b/>
              <w:sz w:val="16"/>
              <w:szCs w:val="16"/>
              <w:lang w:val="bg-BG"/>
            </w:rPr>
            <w:t>Евростат</w:t>
          </w:r>
          <w:proofErr w:type="spellEnd"/>
          <w:r w:rsidRPr="00D640DA">
            <w:rPr>
              <w:rFonts w:ascii="Times New Roman" w:hAnsi="Times New Roman" w:cs="Times New Roman"/>
              <w:b/>
              <w:sz w:val="16"/>
              <w:szCs w:val="16"/>
              <w:lang w:val="bg-BG"/>
            </w:rPr>
            <w:t xml:space="preserve"> и миграция към ХЧО</w:t>
          </w:r>
          <w:r w:rsidR="00C72051">
            <w:rPr>
              <w:rFonts w:ascii="Times New Roman" w:hAnsi="Times New Roman" w:cs="Times New Roman"/>
              <w:b/>
              <w:sz w:val="16"/>
              <w:szCs w:val="16"/>
              <w:lang w:val="bg-BG"/>
            </w:rPr>
            <w:t>“</w:t>
          </w:r>
        </w:p>
        <w:p w:rsidR="009C4825" w:rsidRPr="00D640DA" w:rsidRDefault="003A2E9A" w:rsidP="00C72051">
          <w:pPr>
            <w:pStyle w:val="a5"/>
            <w:spacing w:before="40" w:line="160" w:lineRule="exact"/>
            <w:jc w:val="center"/>
            <w:rPr>
              <w:rFonts w:ascii="Times New Roman" w:hAnsi="Times New Roman" w:cs="Times New Roman"/>
              <w:sz w:val="16"/>
              <w:szCs w:val="16"/>
              <w:highlight w:val="yellow"/>
            </w:rPr>
          </w:pPr>
          <w:r w:rsidRPr="00D640DA">
            <w:rPr>
              <w:rFonts w:ascii="Times New Roman" w:hAnsi="Times New Roman" w:cs="Times New Roman"/>
              <w:bCs/>
              <w:i/>
              <w:iCs/>
              <w:sz w:val="16"/>
              <w:szCs w:val="16"/>
              <w:lang w:val="bg-BG"/>
            </w:rPr>
            <w:t>Проектът се осъществява с финансовата подкрепа на Оперативна програма „Добро управление</w:t>
          </w:r>
          <w:r w:rsidR="00C72051">
            <w:rPr>
              <w:rFonts w:ascii="Times New Roman" w:hAnsi="Times New Roman" w:cs="Times New Roman"/>
              <w:bCs/>
              <w:i/>
              <w:iCs/>
              <w:sz w:val="16"/>
              <w:szCs w:val="16"/>
              <w:lang w:val="bg-BG"/>
            </w:rPr>
            <w:t>“</w:t>
          </w:r>
          <w:r w:rsidRPr="00D640DA">
            <w:rPr>
              <w:rFonts w:ascii="Times New Roman" w:hAnsi="Times New Roman" w:cs="Times New Roman"/>
              <w:bCs/>
              <w:i/>
              <w:iCs/>
              <w:sz w:val="16"/>
              <w:szCs w:val="16"/>
              <w:lang w:val="bg-BG"/>
            </w:rPr>
            <w:t xml:space="preserve">, </w:t>
          </w:r>
          <w:r w:rsidR="00C9549A">
            <w:rPr>
              <w:rFonts w:ascii="Times New Roman" w:hAnsi="Times New Roman" w:cs="Times New Roman"/>
              <w:bCs/>
              <w:i/>
              <w:iCs/>
              <w:sz w:val="16"/>
              <w:szCs w:val="16"/>
              <w:lang w:val="bg-BG"/>
            </w:rPr>
            <w:br/>
          </w:r>
          <w:proofErr w:type="spellStart"/>
          <w:r w:rsidRPr="00D640DA">
            <w:rPr>
              <w:rFonts w:ascii="Times New Roman" w:hAnsi="Times New Roman" w:cs="Times New Roman"/>
              <w:bCs/>
              <w:i/>
              <w:iCs/>
              <w:sz w:val="16"/>
              <w:szCs w:val="16"/>
              <w:lang w:val="bg-BG"/>
            </w:rPr>
            <w:t>съфинансирана</w:t>
          </w:r>
          <w:proofErr w:type="spellEnd"/>
          <w:r w:rsidRPr="00D640DA">
            <w:rPr>
              <w:rFonts w:ascii="Times New Roman" w:hAnsi="Times New Roman" w:cs="Times New Roman"/>
              <w:bCs/>
              <w:i/>
              <w:iCs/>
              <w:sz w:val="16"/>
              <w:szCs w:val="16"/>
              <w:lang w:val="bg-BG"/>
            </w:rPr>
            <w:t xml:space="preserve"> от Европейския социален фонд на Европейския съюз</w:t>
          </w:r>
        </w:p>
      </w:tc>
      <w:tc>
        <w:tcPr>
          <w:tcW w:w="1701" w:type="dxa"/>
          <w:vAlign w:val="bottom"/>
        </w:tcPr>
        <w:p w:rsidR="009C4825" w:rsidRPr="00264742" w:rsidRDefault="00332288" w:rsidP="009C4825">
          <w:pPr>
            <w:pStyle w:val="a5"/>
            <w:jc w:val="right"/>
            <w:rPr>
              <w:rFonts w:ascii="Times New Roman" w:hAnsi="Times New Roman" w:cs="Times New Roman"/>
              <w:b/>
              <w:sz w:val="16"/>
              <w:szCs w:val="16"/>
              <w:lang w:val="bg-BG"/>
            </w:rPr>
          </w:pPr>
          <w:r w:rsidRPr="00264742">
            <w:rPr>
              <w:rFonts w:ascii="Times New Roman" w:eastAsia="Calibri" w:hAnsi="Times New Roman" w:cs="Times New Roman"/>
              <w:i/>
              <w:sz w:val="16"/>
              <w:szCs w:val="16"/>
              <w:lang w:val="bg-BG"/>
            </w:rPr>
            <w:t xml:space="preserve">Стр. </w:t>
          </w:r>
          <w:r w:rsidRPr="00264742">
            <w:rPr>
              <w:rFonts w:ascii="Times New Roman" w:eastAsia="Calibri" w:hAnsi="Times New Roman" w:cs="Times New Roman"/>
              <w:i/>
              <w:sz w:val="16"/>
              <w:szCs w:val="16"/>
              <w:lang w:val="bg-BG"/>
            </w:rPr>
            <w:fldChar w:fldCharType="begin"/>
          </w:r>
          <w:r w:rsidRPr="00264742">
            <w:rPr>
              <w:rFonts w:ascii="Times New Roman" w:eastAsia="Calibri" w:hAnsi="Times New Roman" w:cs="Times New Roman"/>
              <w:i/>
              <w:sz w:val="16"/>
              <w:szCs w:val="16"/>
              <w:lang w:val="bg-BG"/>
            </w:rPr>
            <w:instrText xml:space="preserve"> PAGE </w:instrText>
          </w:r>
          <w:r w:rsidRPr="00264742">
            <w:rPr>
              <w:rFonts w:ascii="Times New Roman" w:eastAsia="Calibri" w:hAnsi="Times New Roman" w:cs="Times New Roman"/>
              <w:i/>
              <w:sz w:val="16"/>
              <w:szCs w:val="16"/>
              <w:lang w:val="bg-BG"/>
            </w:rPr>
            <w:fldChar w:fldCharType="separate"/>
          </w:r>
          <w:r w:rsidR="0037322C">
            <w:rPr>
              <w:rFonts w:ascii="Times New Roman" w:eastAsia="Calibri" w:hAnsi="Times New Roman" w:cs="Times New Roman"/>
              <w:i/>
              <w:noProof/>
              <w:sz w:val="16"/>
              <w:szCs w:val="16"/>
              <w:lang w:val="bg-BG"/>
            </w:rPr>
            <w:t>23</w:t>
          </w:r>
          <w:r w:rsidRPr="00264742">
            <w:rPr>
              <w:rFonts w:ascii="Times New Roman" w:eastAsia="Calibri" w:hAnsi="Times New Roman" w:cs="Times New Roman"/>
              <w:i/>
              <w:sz w:val="16"/>
              <w:szCs w:val="16"/>
              <w:lang w:val="bg-BG"/>
            </w:rPr>
            <w:fldChar w:fldCharType="end"/>
          </w:r>
          <w:r w:rsidRPr="00264742">
            <w:rPr>
              <w:rFonts w:ascii="Times New Roman" w:eastAsia="Calibri" w:hAnsi="Times New Roman" w:cs="Times New Roman"/>
              <w:i/>
              <w:sz w:val="16"/>
              <w:szCs w:val="16"/>
              <w:lang w:val="bg-BG"/>
            </w:rPr>
            <w:t xml:space="preserve"> от </w:t>
          </w:r>
          <w:r w:rsidRPr="00264742">
            <w:rPr>
              <w:rFonts w:ascii="Times New Roman" w:eastAsia="Calibri" w:hAnsi="Times New Roman" w:cs="Times New Roman"/>
              <w:i/>
              <w:sz w:val="16"/>
              <w:szCs w:val="16"/>
              <w:lang w:val="bg-BG"/>
            </w:rPr>
            <w:fldChar w:fldCharType="begin"/>
          </w:r>
          <w:r w:rsidRPr="00264742">
            <w:rPr>
              <w:rFonts w:ascii="Times New Roman" w:eastAsia="Calibri" w:hAnsi="Times New Roman" w:cs="Times New Roman"/>
              <w:i/>
              <w:sz w:val="16"/>
              <w:szCs w:val="16"/>
              <w:lang w:val="bg-BG"/>
            </w:rPr>
            <w:instrText xml:space="preserve"> NUMPAGES  </w:instrText>
          </w:r>
          <w:r w:rsidRPr="00264742">
            <w:rPr>
              <w:rFonts w:ascii="Times New Roman" w:eastAsia="Calibri" w:hAnsi="Times New Roman" w:cs="Times New Roman"/>
              <w:i/>
              <w:sz w:val="16"/>
              <w:szCs w:val="16"/>
              <w:lang w:val="bg-BG"/>
            </w:rPr>
            <w:fldChar w:fldCharType="separate"/>
          </w:r>
          <w:r w:rsidR="0037322C">
            <w:rPr>
              <w:rFonts w:ascii="Times New Roman" w:eastAsia="Calibri" w:hAnsi="Times New Roman" w:cs="Times New Roman"/>
              <w:i/>
              <w:noProof/>
              <w:sz w:val="16"/>
              <w:szCs w:val="16"/>
              <w:lang w:val="bg-BG"/>
            </w:rPr>
            <w:t>23</w:t>
          </w:r>
          <w:r w:rsidRPr="00264742">
            <w:rPr>
              <w:rFonts w:ascii="Times New Roman" w:eastAsia="Calibri" w:hAnsi="Times New Roman" w:cs="Times New Roman"/>
              <w:i/>
              <w:sz w:val="16"/>
              <w:szCs w:val="16"/>
              <w:lang w:val="bg-BG"/>
            </w:rPr>
            <w:fldChar w:fldCharType="end"/>
          </w:r>
        </w:p>
      </w:tc>
    </w:tr>
  </w:tbl>
  <w:p w:rsidR="009C4825" w:rsidRPr="00A93527" w:rsidRDefault="009C4825" w:rsidP="009C4825">
    <w:pPr>
      <w:pStyle w:val="a5"/>
      <w:rPr>
        <w:rFonts w:ascii="Times New Roman" w:hAnsi="Times New Roman" w:cs="Times New Roman"/>
        <w:sz w:val="2"/>
        <w:szCs w:val="2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78C" w:rsidRDefault="00D4078C" w:rsidP="00C942EA">
      <w:pPr>
        <w:spacing w:after="0" w:line="240" w:lineRule="auto"/>
      </w:pPr>
      <w:r>
        <w:separator/>
      </w:r>
    </w:p>
  </w:footnote>
  <w:footnote w:type="continuationSeparator" w:id="0">
    <w:p w:rsidR="00D4078C" w:rsidRDefault="00D4078C" w:rsidP="00C9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495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0"/>
      <w:gridCol w:w="9663"/>
      <w:gridCol w:w="3050"/>
    </w:tblGrid>
    <w:tr w:rsidR="00577FCE" w:rsidRPr="00577FCE" w:rsidTr="00BD7190">
      <w:trPr>
        <w:jc w:val="center"/>
      </w:trPr>
      <w:tc>
        <w:tcPr>
          <w:tcW w:w="2835" w:type="dxa"/>
          <w:vAlign w:val="center"/>
        </w:tcPr>
        <w:p w:rsidR="00577FCE" w:rsidRPr="00577FCE" w:rsidRDefault="00577FCE" w:rsidP="00577FCE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577FCE">
            <w:rPr>
              <w:rFonts w:ascii="Times New Roman" w:hAnsi="Times New Roman" w:cs="Times New Roman"/>
              <w:noProof/>
              <w:sz w:val="16"/>
              <w:szCs w:val="16"/>
              <w:lang w:val="bg-BG" w:eastAsia="bg-BG"/>
            </w:rPr>
            <w:drawing>
              <wp:inline distT="0" distB="0" distL="0" distR="0" wp14:anchorId="6324775E" wp14:editId="09044C42">
                <wp:extent cx="1800000" cy="59760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1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59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577FCE" w:rsidRPr="00577FCE" w:rsidRDefault="00577FCE" w:rsidP="00577FCE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577FCE">
            <w:rPr>
              <w:rFonts w:ascii="Times New Roman" w:hAnsi="Times New Roman" w:cs="Times New Roman"/>
              <w:noProof/>
              <w:sz w:val="16"/>
              <w:szCs w:val="16"/>
              <w:lang w:val="bg-BG" w:eastAsia="bg-BG"/>
            </w:rPr>
            <w:drawing>
              <wp:inline distT="0" distB="0" distL="0" distR="0" wp14:anchorId="04EE442A" wp14:editId="43B9BDF9">
                <wp:extent cx="1440000" cy="579600"/>
                <wp:effectExtent l="0" t="0" r="825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NS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7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:rsidR="00577FCE" w:rsidRPr="00577FCE" w:rsidRDefault="00577FCE" w:rsidP="00577FCE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577FCE">
            <w:rPr>
              <w:rFonts w:ascii="Times New Roman" w:hAnsi="Times New Roman" w:cs="Times New Roman"/>
              <w:noProof/>
              <w:sz w:val="16"/>
              <w:szCs w:val="16"/>
              <w:lang w:val="bg-BG" w:eastAsia="bg-BG"/>
            </w:rPr>
            <w:drawing>
              <wp:inline distT="0" distB="0" distL="0" distR="0" wp14:anchorId="47B9D492" wp14:editId="3F1CBA15">
                <wp:extent cx="1800000" cy="6264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22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2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27F3A" w:rsidRPr="00577FCE" w:rsidRDefault="00D27F3A" w:rsidP="00577FCE">
    <w:pPr>
      <w:pStyle w:val="a3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7E43"/>
    <w:multiLevelType w:val="hybridMultilevel"/>
    <w:tmpl w:val="25046752"/>
    <w:lvl w:ilvl="0" w:tplc="74788F9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F2984"/>
    <w:multiLevelType w:val="multilevel"/>
    <w:tmpl w:val="EC7285D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40582C7E"/>
    <w:multiLevelType w:val="hybridMultilevel"/>
    <w:tmpl w:val="319C8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A3B32"/>
    <w:multiLevelType w:val="hybridMultilevel"/>
    <w:tmpl w:val="66765E02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6B347681"/>
    <w:multiLevelType w:val="hybridMultilevel"/>
    <w:tmpl w:val="4438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128"/>
    <w:rsid w:val="000E7A05"/>
    <w:rsid w:val="000F6C33"/>
    <w:rsid w:val="00102128"/>
    <w:rsid w:val="00264742"/>
    <w:rsid w:val="00271971"/>
    <w:rsid w:val="002864A9"/>
    <w:rsid w:val="002B297F"/>
    <w:rsid w:val="00332288"/>
    <w:rsid w:val="0037322C"/>
    <w:rsid w:val="003A2E9A"/>
    <w:rsid w:val="003F1840"/>
    <w:rsid w:val="00416551"/>
    <w:rsid w:val="005329F7"/>
    <w:rsid w:val="00577FCE"/>
    <w:rsid w:val="005E27CA"/>
    <w:rsid w:val="00633A41"/>
    <w:rsid w:val="007E5672"/>
    <w:rsid w:val="00813509"/>
    <w:rsid w:val="008E7563"/>
    <w:rsid w:val="009237EB"/>
    <w:rsid w:val="00941F69"/>
    <w:rsid w:val="009C4825"/>
    <w:rsid w:val="009D264D"/>
    <w:rsid w:val="00A82CBF"/>
    <w:rsid w:val="00A93527"/>
    <w:rsid w:val="00AC0B89"/>
    <w:rsid w:val="00AF44E5"/>
    <w:rsid w:val="00B125D0"/>
    <w:rsid w:val="00B94302"/>
    <w:rsid w:val="00BD558E"/>
    <w:rsid w:val="00BD7190"/>
    <w:rsid w:val="00C364BE"/>
    <w:rsid w:val="00C72051"/>
    <w:rsid w:val="00C942EA"/>
    <w:rsid w:val="00C9549A"/>
    <w:rsid w:val="00D27F3A"/>
    <w:rsid w:val="00D303DD"/>
    <w:rsid w:val="00D4078C"/>
    <w:rsid w:val="00D45411"/>
    <w:rsid w:val="00D640DA"/>
    <w:rsid w:val="00D653EF"/>
    <w:rsid w:val="00E02388"/>
    <w:rsid w:val="00EF4F24"/>
    <w:rsid w:val="00F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2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942EA"/>
  </w:style>
  <w:style w:type="paragraph" w:styleId="a5">
    <w:name w:val="footer"/>
    <w:basedOn w:val="a"/>
    <w:link w:val="a6"/>
    <w:uiPriority w:val="99"/>
    <w:unhideWhenUsed/>
    <w:rsid w:val="00C942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942EA"/>
  </w:style>
  <w:style w:type="table" w:styleId="a7">
    <w:name w:val="Table Grid"/>
    <w:basedOn w:val="a1"/>
    <w:uiPriority w:val="39"/>
    <w:rsid w:val="00C9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F1840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1021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102128"/>
    <w:pPr>
      <w:ind w:left="720"/>
      <w:contextualSpacing/>
    </w:pPr>
  </w:style>
  <w:style w:type="paragraph" w:styleId="ad">
    <w:name w:val="No Spacing"/>
    <w:qFormat/>
    <w:rsid w:val="00102128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customStyle="1" w:styleId="TableText">
    <w:name w:val="Table Text"/>
    <w:basedOn w:val="a"/>
    <w:link w:val="TableTextChar"/>
    <w:qFormat/>
    <w:rsid w:val="00102128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TableTextChar">
    <w:name w:val="Table Text Char"/>
    <w:basedOn w:val="a0"/>
    <w:link w:val="TableText"/>
    <w:rsid w:val="00102128"/>
    <w:rPr>
      <w:rFonts w:ascii="Times New Roman" w:eastAsia="Calibri" w:hAnsi="Times New Roman" w:cs="Times New Roman"/>
    </w:rPr>
  </w:style>
  <w:style w:type="character" w:customStyle="1" w:styleId="ac">
    <w:name w:val="Списък на абзаци Знак"/>
    <w:basedOn w:val="a0"/>
    <w:link w:val="ab"/>
    <w:uiPriority w:val="34"/>
    <w:rsid w:val="001021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2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942EA"/>
  </w:style>
  <w:style w:type="paragraph" w:styleId="a5">
    <w:name w:val="footer"/>
    <w:basedOn w:val="a"/>
    <w:link w:val="a6"/>
    <w:uiPriority w:val="99"/>
    <w:unhideWhenUsed/>
    <w:rsid w:val="00C942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942EA"/>
  </w:style>
  <w:style w:type="table" w:styleId="a7">
    <w:name w:val="Table Grid"/>
    <w:basedOn w:val="a1"/>
    <w:uiPriority w:val="39"/>
    <w:rsid w:val="00C9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1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3F1840"/>
    <w:rPr>
      <w:rFonts w:ascii="Segoe UI" w:hAnsi="Segoe UI" w:cs="Segoe U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1021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102128"/>
    <w:pPr>
      <w:ind w:left="720"/>
      <w:contextualSpacing/>
    </w:pPr>
  </w:style>
  <w:style w:type="paragraph" w:styleId="ad">
    <w:name w:val="No Spacing"/>
    <w:qFormat/>
    <w:rsid w:val="00102128"/>
    <w:pPr>
      <w:spacing w:after="0" w:line="240" w:lineRule="auto"/>
    </w:pPr>
    <w:rPr>
      <w:rFonts w:ascii="Calibri" w:eastAsia="Calibri" w:hAnsi="Calibri" w:cs="Times New Roman"/>
      <w:lang w:val="bg-BG"/>
    </w:rPr>
  </w:style>
  <w:style w:type="paragraph" w:customStyle="1" w:styleId="TableText">
    <w:name w:val="Table Text"/>
    <w:basedOn w:val="a"/>
    <w:link w:val="TableTextChar"/>
    <w:qFormat/>
    <w:rsid w:val="00102128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customStyle="1" w:styleId="TableTextChar">
    <w:name w:val="Table Text Char"/>
    <w:basedOn w:val="a0"/>
    <w:link w:val="TableText"/>
    <w:rsid w:val="00102128"/>
    <w:rPr>
      <w:rFonts w:ascii="Times New Roman" w:eastAsia="Calibri" w:hAnsi="Times New Roman" w:cs="Times New Roman"/>
    </w:rPr>
  </w:style>
  <w:style w:type="character" w:customStyle="1" w:styleId="ac">
    <w:name w:val="Списък на абзаци Знак"/>
    <w:basedOn w:val="a0"/>
    <w:link w:val="ab"/>
    <w:uiPriority w:val="34"/>
    <w:rsid w:val="00102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NSI\OPDU_HardWare\Proekt\Templates\OPDUHW-templateA4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OPDUHW-templateA4Landscape</Template>
  <TotalTime>9</TotalTime>
  <Pages>23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2017-03-19T15:45:00Z</cp:lastPrinted>
  <dcterms:created xsi:type="dcterms:W3CDTF">2017-04-11T06:14:00Z</dcterms:created>
  <dcterms:modified xsi:type="dcterms:W3CDTF">2017-04-24T18:33:00Z</dcterms:modified>
</cp:coreProperties>
</file>