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73AB4" w14:textId="77777777" w:rsidR="00267ED0" w:rsidRPr="00020497" w:rsidRDefault="00267ED0">
      <w:pPr>
        <w:rPr>
          <w:lang w:val="en-US"/>
        </w:rPr>
      </w:pPr>
    </w:p>
    <w:p w14:paraId="6C13C708" w14:textId="77777777" w:rsidR="00723B69" w:rsidRDefault="00723B69"/>
    <w:p w14:paraId="4DC76E39" w14:textId="77777777" w:rsidR="00267ED0" w:rsidRPr="00107C33" w:rsidRDefault="00267ED0" w:rsidP="00267ED0">
      <w:pPr>
        <w:jc w:val="center"/>
        <w:rPr>
          <w:rFonts w:ascii="Times New Roman" w:hAnsi="Times New Roman" w:cs="Times New Roman"/>
          <w:b/>
        </w:rPr>
      </w:pPr>
      <w:r w:rsidRPr="00107C33">
        <w:rPr>
          <w:rFonts w:ascii="Times New Roman" w:hAnsi="Times New Roman" w:cs="Times New Roman"/>
          <w:b/>
        </w:rPr>
        <w:t>О Т Ч Е Т</w:t>
      </w:r>
    </w:p>
    <w:p w14:paraId="76DC6555" w14:textId="77777777" w:rsidR="00267ED0" w:rsidRPr="00107C33" w:rsidRDefault="00267ED0" w:rsidP="00267ED0">
      <w:pPr>
        <w:jc w:val="center"/>
        <w:rPr>
          <w:rFonts w:ascii="Times New Roman" w:hAnsi="Times New Roman" w:cs="Times New Roman"/>
          <w:b/>
        </w:rPr>
      </w:pPr>
      <w:r w:rsidRPr="00107C33">
        <w:rPr>
          <w:rFonts w:ascii="Times New Roman" w:hAnsi="Times New Roman" w:cs="Times New Roman"/>
          <w:b/>
        </w:rPr>
        <w:t>ЗА ИЗПЪЛНЕНИЕ</w:t>
      </w:r>
      <w:r w:rsidR="005A3533" w:rsidRPr="00107C33">
        <w:rPr>
          <w:rFonts w:ascii="Times New Roman" w:hAnsi="Times New Roman" w:cs="Times New Roman"/>
          <w:b/>
        </w:rPr>
        <w:t xml:space="preserve">ТО НА </w:t>
      </w:r>
      <w:r w:rsidR="00A91F35" w:rsidRPr="00107C33">
        <w:rPr>
          <w:rFonts w:ascii="Times New Roman" w:hAnsi="Times New Roman" w:cs="Times New Roman"/>
          <w:b/>
        </w:rPr>
        <w:t xml:space="preserve">ПРОГРАМНИЯ </w:t>
      </w:r>
      <w:r w:rsidR="005A3533" w:rsidRPr="00107C33">
        <w:rPr>
          <w:rFonts w:ascii="Times New Roman" w:hAnsi="Times New Roman" w:cs="Times New Roman"/>
          <w:b/>
        </w:rPr>
        <w:t>БЮДЖЕТ КЪМ 3</w:t>
      </w:r>
      <w:r w:rsidR="00C94773" w:rsidRPr="00020497">
        <w:rPr>
          <w:rFonts w:ascii="Times New Roman" w:hAnsi="Times New Roman" w:cs="Times New Roman"/>
          <w:b/>
        </w:rPr>
        <w:t>1</w:t>
      </w:r>
      <w:r w:rsidRPr="00107C33">
        <w:rPr>
          <w:rFonts w:ascii="Times New Roman" w:hAnsi="Times New Roman" w:cs="Times New Roman"/>
          <w:b/>
        </w:rPr>
        <w:t>.</w:t>
      </w:r>
      <w:r w:rsidR="00C94773" w:rsidRPr="00020497">
        <w:rPr>
          <w:rFonts w:ascii="Times New Roman" w:hAnsi="Times New Roman" w:cs="Times New Roman"/>
          <w:b/>
        </w:rPr>
        <w:t>12</w:t>
      </w:r>
      <w:r w:rsidRPr="00107C33">
        <w:rPr>
          <w:rFonts w:ascii="Times New Roman" w:hAnsi="Times New Roman" w:cs="Times New Roman"/>
          <w:b/>
        </w:rPr>
        <w:t>.202</w:t>
      </w:r>
      <w:r w:rsidR="008E663F" w:rsidRPr="005D274D">
        <w:rPr>
          <w:rFonts w:ascii="Times New Roman" w:hAnsi="Times New Roman" w:cs="Times New Roman"/>
          <w:b/>
        </w:rPr>
        <w:t>5</w:t>
      </w:r>
      <w:r w:rsidRPr="00107C33">
        <w:rPr>
          <w:rFonts w:ascii="Times New Roman" w:hAnsi="Times New Roman" w:cs="Times New Roman"/>
          <w:b/>
        </w:rPr>
        <w:t xml:space="preserve"> </w:t>
      </w:r>
      <w:r w:rsidR="003343D8" w:rsidRPr="00107C33">
        <w:rPr>
          <w:rFonts w:ascii="Times New Roman" w:hAnsi="Times New Roman" w:cs="Times New Roman"/>
          <w:b/>
        </w:rPr>
        <w:t>г</w:t>
      </w:r>
      <w:r w:rsidRPr="00107C33">
        <w:rPr>
          <w:rFonts w:ascii="Times New Roman" w:hAnsi="Times New Roman" w:cs="Times New Roman"/>
          <w:b/>
        </w:rPr>
        <w:t>.</w:t>
      </w:r>
    </w:p>
    <w:p w14:paraId="00286BEA" w14:textId="77777777" w:rsidR="00267ED0" w:rsidRPr="00107C33" w:rsidRDefault="00267ED0" w:rsidP="00267ED0">
      <w:pPr>
        <w:jc w:val="center"/>
        <w:rPr>
          <w:rFonts w:ascii="Times New Roman" w:hAnsi="Times New Roman" w:cs="Times New Roman"/>
          <w:b/>
        </w:rPr>
      </w:pPr>
      <w:r w:rsidRPr="00107C33">
        <w:rPr>
          <w:rFonts w:ascii="Times New Roman" w:hAnsi="Times New Roman" w:cs="Times New Roman"/>
          <w:b/>
        </w:rPr>
        <w:t>НА НАЦИОНАЛН</w:t>
      </w:r>
      <w:r w:rsidR="00107C33" w:rsidRPr="00107C33">
        <w:rPr>
          <w:rFonts w:ascii="Times New Roman" w:hAnsi="Times New Roman" w:cs="Times New Roman"/>
          <w:b/>
        </w:rPr>
        <w:t>ИЯ</w:t>
      </w:r>
      <w:r w:rsidRPr="00107C33">
        <w:rPr>
          <w:rFonts w:ascii="Times New Roman" w:hAnsi="Times New Roman" w:cs="Times New Roman"/>
          <w:b/>
        </w:rPr>
        <w:t xml:space="preserve"> СТАТИСТИЧЕСКИ ИНСТИТУТ</w:t>
      </w:r>
    </w:p>
    <w:p w14:paraId="29C09134" w14:textId="77777777" w:rsidR="00017766" w:rsidRDefault="00017766"/>
    <w:p w14:paraId="5B8F3D46" w14:textId="77777777" w:rsidR="008E663F" w:rsidRDefault="008E663F"/>
    <w:tbl>
      <w:tblPr>
        <w:tblW w:w="93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099"/>
        <w:gridCol w:w="1169"/>
        <w:gridCol w:w="930"/>
        <w:gridCol w:w="11"/>
      </w:tblGrid>
      <w:tr w:rsidR="004B534A" w:rsidRPr="00CC0AB2" w14:paraId="0ECEC090" w14:textId="77777777" w:rsidTr="006C2350">
        <w:trPr>
          <w:trHeight w:val="340"/>
        </w:trPr>
        <w:tc>
          <w:tcPr>
            <w:tcW w:w="93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964D" w14:textId="77777777" w:rsidR="0069242B" w:rsidRPr="007A4677" w:rsidRDefault="0069242B" w:rsidP="006924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  <w:p w14:paraId="1348C2B8" w14:textId="77777777" w:rsidR="0069242B" w:rsidRDefault="0069242B" w:rsidP="00692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7A4677">
              <w:rPr>
                <w:rFonts w:ascii="Times New Roman" w:eastAsia="Times New Roman" w:hAnsi="Times New Roman" w:cs="Times New Roman"/>
                <w:b/>
                <w:lang w:eastAsia="bg-BG"/>
              </w:rPr>
              <w:t xml:space="preserve">Приложение № 1 – </w:t>
            </w:r>
            <w:r w:rsidRPr="007A4677">
              <w:rPr>
                <w:rFonts w:ascii="Times New Roman" w:eastAsia="Times New Roman" w:hAnsi="Times New Roman" w:cs="Times New Roman"/>
                <w:lang w:eastAsia="bg-BG"/>
              </w:rPr>
              <w:t xml:space="preserve">Отчет на приходите по бюджета </w:t>
            </w:r>
          </w:p>
          <w:p w14:paraId="6962CFE7" w14:textId="77777777" w:rsidR="006C2350" w:rsidRPr="006C2350" w:rsidRDefault="006C2350" w:rsidP="006924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4B534A" w:rsidRPr="004B534A" w14:paraId="76309061" w14:textId="77777777" w:rsidTr="003F31E3">
        <w:trPr>
          <w:gridAfter w:val="1"/>
          <w:wAfter w:w="11" w:type="dxa"/>
          <w:trHeight w:val="6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2CBE2084" w14:textId="77777777" w:rsidR="004B534A" w:rsidRPr="004B534A" w:rsidRDefault="004B534A" w:rsidP="003F31E3">
            <w:pPr>
              <w:spacing w:after="0" w:line="240" w:lineRule="auto"/>
              <w:ind w:left="3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ПРИХОДИ</w:t>
            </w: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br/>
              <w:t>(в лева)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center"/>
            <w:hideMark/>
          </w:tcPr>
          <w:p w14:paraId="14F23761" w14:textId="77777777" w:rsidR="004B534A" w:rsidRPr="004B534A" w:rsidRDefault="004B534A" w:rsidP="004B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Закон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2B434C65" w14:textId="77777777" w:rsidR="004B534A" w:rsidRPr="004B534A" w:rsidRDefault="004B534A" w:rsidP="004B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Уточнен план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center"/>
            <w:hideMark/>
          </w:tcPr>
          <w:p w14:paraId="4FD69575" w14:textId="77777777" w:rsidR="004B534A" w:rsidRPr="004B534A" w:rsidRDefault="004B534A" w:rsidP="004B5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Отчет</w:t>
            </w:r>
          </w:p>
        </w:tc>
      </w:tr>
      <w:tr w:rsidR="004B534A" w:rsidRPr="004B534A" w14:paraId="3C0BA732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bottom"/>
            <w:hideMark/>
          </w:tcPr>
          <w:p w14:paraId="401FC223" w14:textId="77777777" w:rsidR="004B534A" w:rsidRPr="004B534A" w:rsidRDefault="004B534A" w:rsidP="004B5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Общо приходи: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bottom"/>
            <w:hideMark/>
          </w:tcPr>
          <w:p w14:paraId="1D679DF2" w14:textId="77777777" w:rsidR="004B534A" w:rsidRPr="004B534A" w:rsidRDefault="005A3533" w:rsidP="0085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 </w:t>
            </w:r>
            <w:r w:rsidR="002774A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950 000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bottom"/>
            <w:hideMark/>
          </w:tcPr>
          <w:p w14:paraId="2B230F9A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bottom"/>
            <w:hideMark/>
          </w:tcPr>
          <w:p w14:paraId="7B1A53BE" w14:textId="77777777" w:rsidR="004B534A" w:rsidRPr="007A270A" w:rsidRDefault="00C94773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507 450</w:t>
            </w:r>
          </w:p>
        </w:tc>
      </w:tr>
      <w:tr w:rsidR="004B534A" w:rsidRPr="004B534A" w14:paraId="6C5C30FF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6B7" w14:textId="77777777" w:rsidR="004B534A" w:rsidRPr="004B534A" w:rsidRDefault="004B534A" w:rsidP="004B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Данъчни приходи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43E" w14:textId="77777777" w:rsidR="004B534A" w:rsidRPr="004B534A" w:rsidRDefault="00E07E68" w:rsidP="0085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  </w:t>
            </w:r>
            <w:r w:rsidR="005A3533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850 000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CF98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B15E" w14:textId="77777777" w:rsidR="004B534A" w:rsidRPr="007A270A" w:rsidRDefault="00C94773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527 055</w:t>
            </w:r>
          </w:p>
        </w:tc>
      </w:tr>
      <w:tr w:rsidR="004B534A" w:rsidRPr="004B534A" w14:paraId="632F069A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9C47" w14:textId="77777777" w:rsidR="004B534A" w:rsidRPr="005A3533" w:rsidRDefault="004B534A" w:rsidP="004B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bg-BG"/>
              </w:rPr>
            </w:pPr>
            <w:r w:rsidRPr="005A353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bg-BG"/>
              </w:rPr>
              <w:t>Неданъчни приходи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0A2A" w14:textId="77777777" w:rsidR="004B534A" w:rsidRPr="005A3533" w:rsidRDefault="004B534A" w:rsidP="0085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B3D8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1CFE" w14:textId="77777777" w:rsidR="004B534A" w:rsidRPr="002774A1" w:rsidRDefault="00C94773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US" w:eastAsia="bg-BG"/>
              </w:rPr>
              <w:t>5 204</w:t>
            </w:r>
          </w:p>
        </w:tc>
      </w:tr>
      <w:tr w:rsidR="004B534A" w:rsidRPr="004B534A" w14:paraId="1E36A039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22FB" w14:textId="77777777" w:rsidR="004B534A" w:rsidRPr="004B534A" w:rsidRDefault="004B534A" w:rsidP="004B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Приходи и доходи от собственост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B346" w14:textId="77777777" w:rsidR="004B534A" w:rsidRPr="004B534A" w:rsidRDefault="00E07E68" w:rsidP="008540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</w:t>
            </w:r>
            <w:r w:rsidR="0085405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</w:t>
            </w:r>
            <w:r w:rsidR="005A3533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100 000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7831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E1FE" w14:textId="77777777" w:rsidR="004B534A" w:rsidRPr="002774A1" w:rsidRDefault="00C94773" w:rsidP="00976C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66 606</w:t>
            </w:r>
          </w:p>
        </w:tc>
      </w:tr>
      <w:tr w:rsidR="004B534A" w:rsidRPr="004B534A" w14:paraId="66A3EB75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611B" w14:textId="77777777" w:rsidR="004B534A" w:rsidRPr="004B534A" w:rsidRDefault="004B534A" w:rsidP="004B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Държавни такси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1DB5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5484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026E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4B534A" w:rsidRPr="004B534A" w14:paraId="7F754008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BDE" w14:textId="77777777" w:rsidR="004B534A" w:rsidRPr="004B534A" w:rsidRDefault="004B534A" w:rsidP="004B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Глоби, санкции и наказателни лихви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B0DB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C043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AA2C" w14:textId="77777777" w:rsidR="004B534A" w:rsidRPr="004B534A" w:rsidRDefault="00C1377F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640</w:t>
            </w:r>
          </w:p>
        </w:tc>
      </w:tr>
      <w:tr w:rsidR="004B534A" w:rsidRPr="004B534A" w14:paraId="65063BD9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8265" w14:textId="77777777" w:rsidR="004B534A" w:rsidRPr="004B534A" w:rsidRDefault="004B534A" w:rsidP="004B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Приходи от концесии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089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B6C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AE8E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</w:tr>
      <w:tr w:rsidR="004B534A" w:rsidRPr="004B534A" w14:paraId="1284C359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F1DD" w14:textId="77777777" w:rsidR="004B534A" w:rsidRPr="004B534A" w:rsidRDefault="004B534A" w:rsidP="004B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Други /ДДС/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2B1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CE1D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F1E4" w14:textId="77777777" w:rsidR="004B534A" w:rsidRPr="00C94773" w:rsidRDefault="0069242B" w:rsidP="00C947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-</w:t>
            </w:r>
            <w:r w:rsidR="00C947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108 116</w:t>
            </w:r>
          </w:p>
        </w:tc>
      </w:tr>
      <w:tr w:rsidR="0069242B" w:rsidRPr="004B534A" w14:paraId="58635A05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E934" w14:textId="77777777" w:rsidR="0069242B" w:rsidRPr="004B534A" w:rsidRDefault="0069242B" w:rsidP="004B53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Постъпления от продажба на нефинансови активи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D2863" w14:textId="77777777" w:rsidR="0069242B" w:rsidRPr="004B534A" w:rsidRDefault="0069242B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33628" w14:textId="77777777" w:rsidR="0069242B" w:rsidRPr="004B534A" w:rsidRDefault="0069242B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6E5A" w14:textId="77777777" w:rsidR="0069242B" w:rsidRPr="00C1377F" w:rsidRDefault="00C1377F" w:rsidP="00CB7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16 061</w:t>
            </w:r>
          </w:p>
        </w:tc>
      </w:tr>
      <w:tr w:rsidR="004B534A" w:rsidRPr="004B534A" w14:paraId="41C9E0E3" w14:textId="77777777" w:rsidTr="003F31E3">
        <w:trPr>
          <w:gridAfter w:val="1"/>
          <w:wAfter w:w="11" w:type="dxa"/>
          <w:trHeight w:val="31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5E29" w14:textId="77777777" w:rsidR="004B534A" w:rsidRPr="00CB21BD" w:rsidRDefault="004B534A" w:rsidP="004B5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bg-BG"/>
              </w:rPr>
            </w:pPr>
            <w:r w:rsidRPr="00CB21B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bg-BG"/>
              </w:rPr>
              <w:t>Помощи, дарения и други безвъзмездно получени суми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3DC2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26D9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37D7" w14:textId="77777777" w:rsidR="004B534A" w:rsidRPr="004B534A" w:rsidRDefault="004B534A" w:rsidP="004B53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4B53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 </w:t>
            </w:r>
          </w:p>
        </w:tc>
      </w:tr>
    </w:tbl>
    <w:p w14:paraId="78C53DA0" w14:textId="77777777" w:rsidR="0069242B" w:rsidRDefault="0069242B" w:rsidP="001A59F6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41DA292C" w14:textId="4F1AE0B9" w:rsidR="00FF1A08" w:rsidRDefault="006C08FC" w:rsidP="00FF1A08">
      <w:pPr>
        <w:spacing w:after="120" w:line="240" w:lineRule="auto"/>
        <w:ind w:left="-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31E3">
        <w:rPr>
          <w:rFonts w:ascii="Times New Roman" w:hAnsi="Times New Roman" w:cs="Times New Roman"/>
          <w:sz w:val="24"/>
          <w:szCs w:val="24"/>
        </w:rPr>
        <w:t>Основната част от собствените приходи на НСИ се формират от продажба на статистическа информация, издаване на удостоверения</w:t>
      </w:r>
      <w:r w:rsidR="006D3AC0">
        <w:rPr>
          <w:rFonts w:ascii="Times New Roman" w:hAnsi="Times New Roman" w:cs="Times New Roman"/>
          <w:sz w:val="24"/>
          <w:szCs w:val="24"/>
        </w:rPr>
        <w:t xml:space="preserve"> за код за икономическа дейност,</w:t>
      </w:r>
      <w:r w:rsidRPr="003F31E3">
        <w:rPr>
          <w:rFonts w:ascii="Times New Roman" w:hAnsi="Times New Roman" w:cs="Times New Roman"/>
          <w:sz w:val="24"/>
          <w:szCs w:val="24"/>
        </w:rPr>
        <w:t xml:space="preserve"> заверени копия на годишни отчети от предходни години</w:t>
      </w:r>
      <w:r w:rsidR="004A7054">
        <w:rPr>
          <w:rFonts w:ascii="Times New Roman" w:hAnsi="Times New Roman" w:cs="Times New Roman"/>
          <w:sz w:val="24"/>
          <w:szCs w:val="24"/>
        </w:rPr>
        <w:t>, наеми</w:t>
      </w:r>
      <w:r w:rsidRPr="003F31E3">
        <w:rPr>
          <w:rFonts w:ascii="Times New Roman" w:hAnsi="Times New Roman" w:cs="Times New Roman"/>
          <w:sz w:val="24"/>
          <w:szCs w:val="24"/>
        </w:rPr>
        <w:t xml:space="preserve"> и др. </w:t>
      </w:r>
      <w:r w:rsidR="00581FC8" w:rsidRPr="003F31E3">
        <w:rPr>
          <w:rFonts w:ascii="Times New Roman" w:hAnsi="Times New Roman" w:cs="Times New Roman"/>
          <w:sz w:val="24"/>
          <w:szCs w:val="24"/>
        </w:rPr>
        <w:t xml:space="preserve">Друга част от приходите се формира от  провеждане на международни и други обучения и мероприятия в Учебна база </w:t>
      </w:r>
      <w:r w:rsidR="00581FC8" w:rsidRPr="00953652">
        <w:rPr>
          <w:rFonts w:ascii="Times New Roman" w:hAnsi="Times New Roman" w:cs="Times New Roman"/>
          <w:sz w:val="24"/>
          <w:szCs w:val="24"/>
        </w:rPr>
        <w:t>”</w:t>
      </w:r>
      <w:r w:rsidR="00581FC8" w:rsidRPr="003F31E3">
        <w:rPr>
          <w:rFonts w:ascii="Times New Roman" w:hAnsi="Times New Roman" w:cs="Times New Roman"/>
          <w:sz w:val="24"/>
          <w:szCs w:val="24"/>
        </w:rPr>
        <w:t>Сливек</w:t>
      </w:r>
      <w:r w:rsidR="00581FC8" w:rsidRPr="00953652">
        <w:rPr>
          <w:rFonts w:ascii="Times New Roman" w:hAnsi="Times New Roman" w:cs="Times New Roman"/>
          <w:sz w:val="24"/>
          <w:szCs w:val="24"/>
        </w:rPr>
        <w:t>”.</w:t>
      </w:r>
      <w:r w:rsidR="004A7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6A552C" w14:textId="39C2E1B6" w:rsidR="00FF1A08" w:rsidRDefault="00157371" w:rsidP="00FF1A08">
      <w:pPr>
        <w:spacing w:after="12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Всички приходи в системата постъпват по сметката на НСИ в БНБ и се отчитат съгласно действащата бюджетна класификация. Към 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4773" w:rsidRPr="000204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773" w:rsidRPr="0002049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242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62280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 реализираните приходи и доходи от собственост  на НСИ са в размер </w:t>
      </w:r>
      <w:r w:rsidR="00C94773" w:rsidRPr="00020497">
        <w:rPr>
          <w:rFonts w:ascii="Times New Roman" w:eastAsia="Times New Roman" w:hAnsi="Times New Roman" w:cs="Times New Roman"/>
          <w:sz w:val="24"/>
          <w:szCs w:val="24"/>
        </w:rPr>
        <w:t>66</w:t>
      </w:r>
      <w:r w:rsidR="00C94773">
        <w:rPr>
          <w:rFonts w:ascii="Times New Roman" w:eastAsia="Times New Roman" w:hAnsi="Times New Roman" w:cs="Times New Roman"/>
          <w:sz w:val="24"/>
          <w:szCs w:val="24"/>
        </w:rPr>
        <w:t xml:space="preserve"> 60</w:t>
      </w:r>
      <w:r w:rsidR="00C137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лева и представляват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773" w:rsidRPr="00020497">
        <w:rPr>
          <w:rFonts w:ascii="Times New Roman" w:eastAsia="Times New Roman" w:hAnsi="Times New Roman" w:cs="Times New Roman"/>
          <w:sz w:val="24"/>
          <w:szCs w:val="24"/>
        </w:rPr>
        <w:t>66</w:t>
      </w:r>
      <w:r w:rsidR="00C94773" w:rsidRPr="00C94773">
        <w:rPr>
          <w:rFonts w:ascii="Times New Roman" w:eastAsia="Times New Roman" w:hAnsi="Times New Roman" w:cs="Times New Roman"/>
          <w:sz w:val="24"/>
          <w:szCs w:val="24"/>
        </w:rPr>
        <w:t>,61</w:t>
      </w:r>
      <w:r w:rsidRPr="00C9477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 от планираните приходи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 Приходите от продажба на услуги, стоки и продукция към 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C94773" w:rsidRPr="000204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C94773"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E663F" w:rsidRPr="005D274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15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г. са в размер на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773" w:rsidRPr="00020497">
        <w:rPr>
          <w:rFonts w:ascii="Times New Roman" w:eastAsia="Times New Roman" w:hAnsi="Times New Roman" w:cs="Times New Roman"/>
          <w:sz w:val="24"/>
          <w:szCs w:val="24"/>
        </w:rPr>
        <w:t>527</w:t>
      </w:r>
      <w:r w:rsidR="00C1377F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r w:rsidR="00C94773" w:rsidRPr="00020497">
        <w:rPr>
          <w:rFonts w:ascii="Times New Roman" w:eastAsia="Times New Roman" w:hAnsi="Times New Roman" w:cs="Times New Roman"/>
          <w:sz w:val="24"/>
          <w:szCs w:val="24"/>
        </w:rPr>
        <w:t>55</w:t>
      </w:r>
      <w:r w:rsidR="00AD3B3C"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лв</w:t>
      </w:r>
      <w:r w:rsidR="0021785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 Цялостното изпълнение на приходната част към 3</w:t>
      </w:r>
      <w:r w:rsidR="00C9477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4773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E663F" w:rsidRPr="005D274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 г. е в размер на </w:t>
      </w:r>
      <w:r w:rsidR="00C94773" w:rsidRPr="00020497">
        <w:rPr>
          <w:rFonts w:ascii="Times New Roman" w:eastAsia="Times New Roman" w:hAnsi="Times New Roman" w:cs="Times New Roman"/>
          <w:sz w:val="24"/>
          <w:szCs w:val="24"/>
        </w:rPr>
        <w:t>53</w:t>
      </w:r>
      <w:r w:rsidR="00C94773">
        <w:rPr>
          <w:rFonts w:ascii="Times New Roman" w:eastAsia="Times New Roman" w:hAnsi="Times New Roman" w:cs="Times New Roman"/>
          <w:sz w:val="24"/>
          <w:szCs w:val="24"/>
        </w:rPr>
        <w:t>,42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%</w:t>
      </w:r>
      <w:r w:rsidR="002178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52712C" w14:textId="77777777" w:rsidR="00125DD9" w:rsidRPr="008E663F" w:rsidRDefault="004A7054" w:rsidP="00FF1A08">
      <w:pPr>
        <w:spacing w:after="12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15">
        <w:rPr>
          <w:rFonts w:ascii="Times New Roman" w:eastAsia="Times New Roman" w:hAnsi="Times New Roman" w:cs="Times New Roman"/>
          <w:sz w:val="24"/>
          <w:szCs w:val="24"/>
        </w:rPr>
        <w:t>Разликата в показателите на изпълнението на параграф 24-</w:t>
      </w:r>
      <w:r w:rsidRPr="00E31F32">
        <w:rPr>
          <w:rFonts w:ascii="Times New Roman" w:eastAsia="Times New Roman" w:hAnsi="Times New Roman" w:cs="Times New Roman"/>
          <w:sz w:val="24"/>
          <w:szCs w:val="24"/>
        </w:rPr>
        <w:t xml:space="preserve">00 –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62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,49</w:t>
      </w:r>
      <w:r w:rsidR="004D4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37A4" w:rsidRPr="00E31F32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31F32">
        <w:rPr>
          <w:rFonts w:ascii="Times New Roman" w:eastAsia="Times New Roman" w:hAnsi="Times New Roman" w:cs="Times New Roman"/>
          <w:sz w:val="24"/>
          <w:szCs w:val="24"/>
        </w:rPr>
        <w:t xml:space="preserve">  и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общото изпълнение на приходите –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53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,42</w:t>
      </w:r>
      <w:r w:rsidR="005B6D3C"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D3C" w:rsidRPr="003F31E3">
        <w:rPr>
          <w:rFonts w:ascii="Times New Roman" w:eastAsia="Times New Roman" w:hAnsi="Times New Roman" w:cs="Times New Roman"/>
          <w:sz w:val="24"/>
          <w:szCs w:val="24"/>
        </w:rPr>
        <w:t>%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в процентно съотношение, се дължи на обстоятелството че платения от НСИ данък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ДДС и данъка върху приходите съгл. ЗКПО са отчетени по подпараграфи 37-01 и 37-02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отрицателни знаци и намаляват общо изпълнението на приходната част. </w:t>
      </w:r>
    </w:p>
    <w:p w14:paraId="08CC65F3" w14:textId="77777777" w:rsidR="00684F1C" w:rsidRDefault="00684F1C"/>
    <w:p w14:paraId="246FE143" w14:textId="77777777" w:rsidR="008E663F" w:rsidRDefault="008E663F"/>
    <w:tbl>
      <w:tblPr>
        <w:tblW w:w="9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4018"/>
        <w:gridCol w:w="1275"/>
        <w:gridCol w:w="1134"/>
        <w:gridCol w:w="1138"/>
      </w:tblGrid>
      <w:tr w:rsidR="00FE0F56" w:rsidRPr="00CC0AB2" w14:paraId="09976F75" w14:textId="77777777" w:rsidTr="006C2350">
        <w:trPr>
          <w:trHeight w:val="340"/>
        </w:trPr>
        <w:tc>
          <w:tcPr>
            <w:tcW w:w="9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193D7" w14:textId="77777777" w:rsidR="00FA0883" w:rsidRDefault="00FE0F56" w:rsidP="00EA1D8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A4677">
              <w:rPr>
                <w:rFonts w:ascii="Times New Roman" w:eastAsia="Times New Roman" w:hAnsi="Times New Roman" w:cs="Times New Roman"/>
                <w:b/>
              </w:rPr>
              <w:lastRenderedPageBreak/>
              <w:t>Приложение № 2а</w:t>
            </w:r>
            <w:r w:rsidRPr="007A4677">
              <w:rPr>
                <w:rFonts w:ascii="Times New Roman" w:eastAsia="Times New Roman" w:hAnsi="Times New Roman" w:cs="Times New Roman"/>
              </w:rPr>
              <w:t xml:space="preserve"> – Отчет на разходите по бюджета на ПРБ по области на политики/</w:t>
            </w:r>
            <w:r w:rsidR="00EA1D8E">
              <w:rPr>
                <w:rFonts w:ascii="Times New Roman" w:eastAsia="Times New Roman" w:hAnsi="Times New Roman" w:cs="Times New Roman"/>
              </w:rPr>
              <w:t xml:space="preserve"> </w:t>
            </w:r>
            <w:r w:rsidRPr="007A4677">
              <w:rPr>
                <w:rFonts w:ascii="Times New Roman" w:eastAsia="Times New Roman" w:hAnsi="Times New Roman" w:cs="Times New Roman"/>
              </w:rPr>
              <w:t>функциона</w:t>
            </w:r>
            <w:r w:rsidR="006C2350">
              <w:rPr>
                <w:rFonts w:ascii="Times New Roman" w:eastAsia="Times New Roman" w:hAnsi="Times New Roman" w:cs="Times New Roman"/>
              </w:rPr>
              <w:t>лни области и бюджетни програми</w:t>
            </w:r>
          </w:p>
          <w:p w14:paraId="6A318A67" w14:textId="77777777" w:rsidR="006C2350" w:rsidRPr="006C2350" w:rsidRDefault="006C2350" w:rsidP="00EA1D8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44CBC" w:rsidRPr="00644CBC" w14:paraId="60962A57" w14:textId="77777777" w:rsidTr="00C111EE">
        <w:trPr>
          <w:trHeight w:val="101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119B8D69" w14:textId="77777777" w:rsidR="00644CBC" w:rsidRPr="00644CBC" w:rsidRDefault="00644CBC" w:rsidP="0064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Класификационен код*</w:t>
            </w: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178CA793" w14:textId="77777777" w:rsidR="00644CBC" w:rsidRPr="00644CBC" w:rsidRDefault="00644CBC" w:rsidP="0064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РАЗХОДИ </w:t>
            </w:r>
            <w:r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br/>
              <w:t>(в лева)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center"/>
            <w:hideMark/>
          </w:tcPr>
          <w:p w14:paraId="0A056F3F" w14:textId="77777777" w:rsidR="00644CBC" w:rsidRPr="00644CBC" w:rsidRDefault="00644CBC" w:rsidP="0064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Закон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0D898A3F" w14:textId="77777777" w:rsidR="00644CBC" w:rsidRPr="00644CBC" w:rsidRDefault="00644CBC" w:rsidP="0064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Уточнен план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center"/>
            <w:hideMark/>
          </w:tcPr>
          <w:p w14:paraId="70895BDD" w14:textId="77777777" w:rsidR="00644CBC" w:rsidRPr="00644CBC" w:rsidRDefault="00644CBC" w:rsidP="0064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Отчет</w:t>
            </w:r>
          </w:p>
        </w:tc>
      </w:tr>
      <w:tr w:rsidR="00644CBC" w:rsidRPr="00644CBC" w14:paraId="7462C5F2" w14:textId="77777777" w:rsidTr="00C111EE">
        <w:trPr>
          <w:trHeight w:val="25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2B96" w14:textId="77777777" w:rsidR="00644CBC" w:rsidRPr="00644CBC" w:rsidRDefault="00644CBC" w:rsidP="0064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4100.00.00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0D7B" w14:textId="77777777" w:rsidR="00644CBC" w:rsidRPr="00644CBC" w:rsidRDefault="00644CBC" w:rsidP="00644C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Общо разходи по бюджета на ПРБ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086A" w14:textId="77777777" w:rsidR="00644CBC" w:rsidRPr="00FE0F56" w:rsidRDefault="00FE0F56" w:rsidP="00644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46 101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773" w14:textId="77777777" w:rsidR="00644CBC" w:rsidRPr="00FE0F56" w:rsidRDefault="00FE0F56" w:rsidP="00644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46 196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BB06" w14:textId="77777777" w:rsidR="00644CBC" w:rsidRPr="00644CBC" w:rsidRDefault="005B6D3C" w:rsidP="005B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45 543 610</w:t>
            </w:r>
            <w:r w:rsidR="00644CBC" w:rsidRPr="00644C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644CBC" w:rsidRPr="00644CBC" w14:paraId="4010DEFF" w14:textId="77777777" w:rsidTr="00FA0883">
        <w:trPr>
          <w:trHeight w:val="627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bottom"/>
            <w:hideMark/>
          </w:tcPr>
          <w:p w14:paraId="0C50BCEB" w14:textId="77777777" w:rsidR="00644CBC" w:rsidRPr="00644CBC" w:rsidRDefault="00644CBC" w:rsidP="0064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4100.01.00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bottom"/>
            <w:hideMark/>
          </w:tcPr>
          <w:p w14:paraId="106C3B59" w14:textId="77777777" w:rsidR="00644CBC" w:rsidRPr="00644CBC" w:rsidRDefault="00A91F35" w:rsidP="00A91F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644CBC" w:rsidDel="00A91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Функционална област</w:t>
            </w:r>
            <w:r w:rsidRPr="00644CBC" w:rsidDel="00A91F3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</w:t>
            </w:r>
            <w:r w:rsidR="00644CBC" w:rsidRPr="00644CB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„ Безпристрастна, обективна, навременна и точна информация за състоянието на Република България“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32D6CBF" w14:textId="77777777" w:rsidR="00644CBC" w:rsidRPr="00FE0F56" w:rsidRDefault="00FE0F56" w:rsidP="00644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46 101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bottom"/>
            <w:hideMark/>
          </w:tcPr>
          <w:p w14:paraId="20B1A3B2" w14:textId="77777777" w:rsidR="00644CBC" w:rsidRPr="00FE0F56" w:rsidRDefault="00FE0F56" w:rsidP="00644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46 196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9D9D9" w:fill="E6E6E6"/>
            <w:noWrap/>
            <w:vAlign w:val="bottom"/>
            <w:hideMark/>
          </w:tcPr>
          <w:p w14:paraId="59E1A201" w14:textId="77777777" w:rsidR="00644CBC" w:rsidRPr="00FE0F56" w:rsidRDefault="005B6D3C" w:rsidP="00644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6D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45 543 610</w:t>
            </w:r>
          </w:p>
        </w:tc>
      </w:tr>
      <w:tr w:rsidR="00644CBC" w:rsidRPr="00644CBC" w14:paraId="30F6A136" w14:textId="77777777" w:rsidTr="00C111EE">
        <w:trPr>
          <w:trHeight w:val="255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C649" w14:textId="77777777" w:rsidR="00644CBC" w:rsidRPr="00644CBC" w:rsidRDefault="00644CBC" w:rsidP="00644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4100.01.01</w:t>
            </w: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BCB4" w14:textId="77777777" w:rsidR="00644CBC" w:rsidRPr="00644CBC" w:rsidRDefault="00644CBC" w:rsidP="00507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44CB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Бюджетна програма</w:t>
            </w:r>
            <w:r w:rsidR="00507DE5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</w:t>
            </w:r>
            <w:r w:rsidRPr="00644CBC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"Национална статистическа програма"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2B97" w14:textId="77777777" w:rsidR="00644CBC" w:rsidRPr="00FE0F56" w:rsidRDefault="00FE0F56" w:rsidP="00644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46 101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36C5" w14:textId="77777777" w:rsidR="00644CBC" w:rsidRPr="00FE0F56" w:rsidRDefault="00FE0F56" w:rsidP="00644C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 xml:space="preserve">46 196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624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E129" w14:textId="77777777" w:rsidR="00644CBC" w:rsidRPr="00FE0F56" w:rsidRDefault="005B6D3C" w:rsidP="00711C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B6D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bg-BG"/>
              </w:rPr>
              <w:t>45 543 610</w:t>
            </w:r>
          </w:p>
        </w:tc>
      </w:tr>
    </w:tbl>
    <w:p w14:paraId="00935AC1" w14:textId="77777777" w:rsidR="00644CBC" w:rsidRDefault="00644CBC"/>
    <w:p w14:paraId="300D5231" w14:textId="77777777" w:rsidR="00365C3C" w:rsidRPr="003F31E3" w:rsidRDefault="00F01E7B" w:rsidP="003F31E3">
      <w:pPr>
        <w:spacing w:after="12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Разходите по </w:t>
      </w:r>
      <w:r w:rsidR="00107C3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юджетна програма</w:t>
      </w:r>
      <w:r w:rsidR="00107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"Национална статистическа програма" към 3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E0F5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 г. са</w:t>
      </w:r>
      <w:r w:rsidR="00221678" w:rsidRPr="003F31E3">
        <w:rPr>
          <w:rFonts w:ascii="Times New Roman" w:eastAsia="Times New Roman" w:hAnsi="Times New Roman" w:cs="Times New Roman"/>
          <w:sz w:val="24"/>
          <w:szCs w:val="24"/>
        </w:rPr>
        <w:t xml:space="preserve"> ведомствени разходи 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 xml:space="preserve">в размер на </w:t>
      </w:r>
      <w:r w:rsidR="005B6D3C" w:rsidRPr="005B6D3C">
        <w:rPr>
          <w:rFonts w:ascii="Times New Roman" w:eastAsia="Times New Roman" w:hAnsi="Times New Roman" w:cs="Times New Roman"/>
          <w:sz w:val="24"/>
          <w:szCs w:val="24"/>
        </w:rPr>
        <w:t xml:space="preserve">45 543 610 </w:t>
      </w:r>
      <w:r w:rsidR="006D683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3F31E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D68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6236" w:rsidRPr="003F31E3">
        <w:rPr>
          <w:rFonts w:ascii="Times New Roman" w:eastAsia="Times New Roman" w:hAnsi="Times New Roman" w:cs="Times New Roman"/>
          <w:sz w:val="24"/>
          <w:szCs w:val="24"/>
        </w:rPr>
        <w:t xml:space="preserve"> и включват</w:t>
      </w:r>
      <w:r w:rsidR="00706645" w:rsidRPr="003F31E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16DE7F" w14:textId="77777777" w:rsidR="00F01E7B" w:rsidRPr="003F31E3" w:rsidRDefault="00756236" w:rsidP="003F31E3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1E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 xml:space="preserve">азходи за </w:t>
      </w:r>
      <w:r w:rsidR="00706645" w:rsidRPr="003F31E3">
        <w:rPr>
          <w:rFonts w:ascii="Times New Roman" w:eastAsia="Times New Roman" w:hAnsi="Times New Roman" w:cs="Times New Roman"/>
          <w:sz w:val="24"/>
          <w:szCs w:val="24"/>
        </w:rPr>
        <w:t>персонал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 xml:space="preserve"> в размер на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5B6D3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642 661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 xml:space="preserve"> лв</w:t>
      </w:r>
      <w:r w:rsidR="008B56D3" w:rsidRPr="003F31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60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A627210" w14:textId="77777777" w:rsidR="00267EC7" w:rsidRPr="003F31E3" w:rsidRDefault="00756236" w:rsidP="003F31E3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31E3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>азходите за издръжка в размер на</w:t>
      </w:r>
      <w:r w:rsidR="00B60FA2"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6D3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262 782</w:t>
      </w:r>
      <w:r w:rsidR="00663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01B">
        <w:rPr>
          <w:rFonts w:ascii="Times New Roman" w:eastAsia="Times New Roman" w:hAnsi="Times New Roman" w:cs="Times New Roman"/>
          <w:sz w:val="24"/>
          <w:szCs w:val="24"/>
        </w:rPr>
        <w:t>л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E601B" w:rsidRPr="005D274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>, като най-голям дял от разходите за издръжка заемат разходите за външни услуги</w:t>
      </w:r>
      <w:r w:rsidR="00B6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6D3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097 628</w:t>
      </w:r>
      <w:r w:rsidR="00B60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 xml:space="preserve">лв., </w:t>
      </w:r>
      <w:r w:rsidR="00267EC7" w:rsidRPr="003F31E3">
        <w:rPr>
          <w:rFonts w:ascii="Times New Roman" w:eastAsia="Times New Roman" w:hAnsi="Times New Roman" w:cs="Times New Roman"/>
          <w:sz w:val="24"/>
          <w:szCs w:val="24"/>
        </w:rPr>
        <w:t>от които абонаментна поддръжка</w:t>
      </w:r>
      <w:r w:rsidR="00E03785" w:rsidRPr="003F31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7EC7" w:rsidRPr="003F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>охрана</w:t>
      </w:r>
      <w:r w:rsidR="00267EC7" w:rsidRPr="003F31E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3785" w:rsidRPr="003F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>разходи за поддръжка на софтуер и хардуер,</w:t>
      </w:r>
      <w:r w:rsidR="00865EA1" w:rsidRPr="003F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>разходи за пощенски,</w:t>
      </w:r>
      <w:r w:rsidR="00E03785" w:rsidRPr="003F3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1E7B" w:rsidRPr="003F31E3">
        <w:rPr>
          <w:rFonts w:ascii="Times New Roman" w:eastAsia="Times New Roman" w:hAnsi="Times New Roman" w:cs="Times New Roman"/>
          <w:sz w:val="24"/>
          <w:szCs w:val="24"/>
        </w:rPr>
        <w:t>мобилни и стаци</w:t>
      </w:r>
      <w:r w:rsidR="00FE601B">
        <w:rPr>
          <w:rFonts w:ascii="Times New Roman" w:eastAsia="Times New Roman" w:hAnsi="Times New Roman" w:cs="Times New Roman"/>
          <w:sz w:val="24"/>
          <w:szCs w:val="24"/>
        </w:rPr>
        <w:t>онарни телефонни услуги и други;</w:t>
      </w:r>
    </w:p>
    <w:p w14:paraId="1DBE8953" w14:textId="77777777" w:rsidR="00F01E7B" w:rsidRPr="00C225E1" w:rsidRDefault="00C225E1" w:rsidP="00C225E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CC0AB2" w:rsidRPr="00C225E1">
        <w:rPr>
          <w:rFonts w:ascii="Times New Roman" w:eastAsia="Times New Roman" w:hAnsi="Times New Roman" w:cs="Times New Roman"/>
          <w:sz w:val="24"/>
          <w:szCs w:val="24"/>
        </w:rPr>
        <w:t xml:space="preserve">азходите </w:t>
      </w:r>
      <w:r w:rsidR="00F01E7B" w:rsidRPr="00C225E1">
        <w:rPr>
          <w:rFonts w:ascii="Times New Roman" w:eastAsia="Times New Roman" w:hAnsi="Times New Roman" w:cs="Times New Roman"/>
          <w:sz w:val="24"/>
          <w:szCs w:val="24"/>
        </w:rPr>
        <w:t>за данъци, такси и административни санкции са в размер на</w:t>
      </w:r>
      <w:r w:rsidR="00740653"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213 557</w:t>
      </w:r>
      <w:r w:rsidR="00FE601B">
        <w:rPr>
          <w:rFonts w:ascii="Times New Roman" w:eastAsia="Times New Roman" w:hAnsi="Times New Roman" w:cs="Times New Roman"/>
          <w:sz w:val="24"/>
          <w:szCs w:val="24"/>
        </w:rPr>
        <w:t xml:space="preserve"> лв.;</w:t>
      </w:r>
    </w:p>
    <w:p w14:paraId="31A6E525" w14:textId="77777777" w:rsidR="00F01E7B" w:rsidRPr="00C225E1" w:rsidRDefault="00C225E1" w:rsidP="00C225E1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CC0AB2" w:rsidRPr="00C225E1">
        <w:rPr>
          <w:rFonts w:ascii="Times New Roman" w:eastAsia="Times New Roman" w:hAnsi="Times New Roman" w:cs="Times New Roman"/>
          <w:sz w:val="24"/>
          <w:szCs w:val="24"/>
        </w:rPr>
        <w:t xml:space="preserve">азходите </w:t>
      </w:r>
      <w:r w:rsidR="00F01E7B" w:rsidRPr="00C225E1">
        <w:rPr>
          <w:rFonts w:ascii="Times New Roman" w:eastAsia="Times New Roman" w:hAnsi="Times New Roman" w:cs="Times New Roman"/>
          <w:sz w:val="24"/>
          <w:szCs w:val="24"/>
        </w:rPr>
        <w:t xml:space="preserve">за членски внос са в размер на </w:t>
      </w:r>
      <w:r w:rsidR="00F71ECE">
        <w:rPr>
          <w:rFonts w:ascii="Times New Roman" w:eastAsia="Times New Roman" w:hAnsi="Times New Roman" w:cs="Times New Roman"/>
          <w:sz w:val="24"/>
          <w:szCs w:val="24"/>
        </w:rPr>
        <w:t>52 944</w:t>
      </w:r>
      <w:r w:rsidR="00FE601B">
        <w:rPr>
          <w:rFonts w:ascii="Times New Roman" w:eastAsia="Times New Roman" w:hAnsi="Times New Roman" w:cs="Times New Roman"/>
          <w:sz w:val="24"/>
          <w:szCs w:val="24"/>
        </w:rPr>
        <w:t xml:space="preserve"> лв.;</w:t>
      </w:r>
    </w:p>
    <w:p w14:paraId="6AB1902C" w14:textId="77777777" w:rsidR="00F01E7B" w:rsidRPr="005B6D3C" w:rsidRDefault="00C225E1" w:rsidP="005B6D3C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CC0AB2" w:rsidRPr="00C225E1">
        <w:rPr>
          <w:rFonts w:ascii="Times New Roman" w:eastAsia="Times New Roman" w:hAnsi="Times New Roman" w:cs="Times New Roman"/>
          <w:sz w:val="24"/>
          <w:szCs w:val="24"/>
        </w:rPr>
        <w:t xml:space="preserve">апиталовите </w:t>
      </w:r>
      <w:r w:rsidR="00F01E7B" w:rsidRPr="00C225E1">
        <w:rPr>
          <w:rFonts w:ascii="Times New Roman" w:eastAsia="Times New Roman" w:hAnsi="Times New Roman" w:cs="Times New Roman"/>
          <w:sz w:val="24"/>
          <w:szCs w:val="24"/>
        </w:rPr>
        <w:t xml:space="preserve">разходи в размер на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5B6D3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371 666</w:t>
      </w:r>
      <w:r w:rsidR="00F01E7B" w:rsidRPr="005B6D3C">
        <w:rPr>
          <w:rFonts w:ascii="Times New Roman" w:eastAsia="Times New Roman" w:hAnsi="Times New Roman" w:cs="Times New Roman"/>
          <w:sz w:val="24"/>
          <w:szCs w:val="24"/>
        </w:rPr>
        <w:t xml:space="preserve"> лв.</w:t>
      </w:r>
      <w:r w:rsidR="00FE601B" w:rsidRPr="005B6D3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2D8E850" w14:textId="77777777" w:rsidR="002B1559" w:rsidRDefault="002B1559" w:rsidP="008E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B526B" w14:textId="5EB28D05" w:rsidR="00454E93" w:rsidRPr="00953652" w:rsidRDefault="00454E93" w:rsidP="002B1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Програмата обхваща </w:t>
      </w:r>
      <w:r w:rsidR="00E23004">
        <w:rPr>
          <w:rFonts w:ascii="Times New Roman" w:eastAsia="Times New Roman" w:hAnsi="Times New Roman" w:cs="Times New Roman"/>
          <w:sz w:val="24"/>
          <w:szCs w:val="24"/>
        </w:rPr>
        <w:t>следните</w:t>
      </w:r>
      <w:r w:rsidR="00B95B36">
        <w:rPr>
          <w:rFonts w:ascii="Times New Roman" w:eastAsia="Times New Roman" w:hAnsi="Times New Roman" w:cs="Times New Roman"/>
          <w:sz w:val="24"/>
          <w:szCs w:val="24"/>
        </w:rPr>
        <w:t xml:space="preserve"> дейности:</w:t>
      </w:r>
    </w:p>
    <w:p w14:paraId="76B59BD9" w14:textId="77777777" w:rsidR="008E663F" w:rsidRDefault="008E663F" w:rsidP="00454E9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8D0E3" w14:textId="77777777" w:rsidR="00454E93" w:rsidRPr="00362A15" w:rsidRDefault="00454E93" w:rsidP="00DB6E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15">
        <w:rPr>
          <w:rFonts w:ascii="Times New Roman" w:eastAsia="Times New Roman" w:hAnsi="Times New Roman" w:cs="Times New Roman"/>
          <w:b/>
          <w:sz w:val="24"/>
          <w:szCs w:val="24"/>
        </w:rPr>
        <w:t>Дейност 141</w:t>
      </w:r>
      <w:r w:rsidRPr="00953652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362A15">
        <w:rPr>
          <w:rFonts w:ascii="Times New Roman" w:eastAsia="Times New Roman" w:hAnsi="Times New Roman" w:cs="Times New Roman"/>
          <w:b/>
          <w:sz w:val="24"/>
          <w:szCs w:val="24"/>
        </w:rPr>
        <w:t xml:space="preserve"> Статистически институт</w:t>
      </w:r>
      <w:r w:rsidR="00DB6EE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62A15">
        <w:rPr>
          <w:rFonts w:ascii="Times New Roman" w:eastAsia="Times New Roman" w:hAnsi="Times New Roman" w:cs="Times New Roman"/>
          <w:b/>
          <w:sz w:val="24"/>
          <w:szCs w:val="24"/>
        </w:rPr>
        <w:t>служби и дейности,</w:t>
      </w:r>
      <w:r w:rsidRPr="009536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62A15">
        <w:rPr>
          <w:rFonts w:ascii="Times New Roman" w:eastAsia="Times New Roman" w:hAnsi="Times New Roman" w:cs="Times New Roman"/>
          <w:b/>
          <w:sz w:val="24"/>
          <w:szCs w:val="24"/>
        </w:rPr>
        <w:t>социологически проучвания и анкети</w:t>
      </w:r>
    </w:p>
    <w:p w14:paraId="28E27473" w14:textId="77777777" w:rsidR="00454E93" w:rsidRDefault="00454E93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0">
        <w:rPr>
          <w:rFonts w:ascii="Times New Roman" w:eastAsia="Times New Roman" w:hAnsi="Times New Roman" w:cs="Times New Roman"/>
          <w:sz w:val="24"/>
          <w:szCs w:val="24"/>
        </w:rPr>
        <w:t xml:space="preserve">Разходите за тази дейност са в размер на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 xml:space="preserve">45 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200</w:t>
      </w:r>
      <w:r w:rsidR="00F71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463</w:t>
      </w:r>
      <w:r w:rsidR="00EF0BED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Pr="00F834F0">
        <w:rPr>
          <w:rFonts w:ascii="Times New Roman" w:eastAsia="Times New Roman" w:hAnsi="Times New Roman" w:cs="Times New Roman"/>
          <w:sz w:val="24"/>
          <w:szCs w:val="24"/>
        </w:rPr>
        <w:t>в.</w:t>
      </w:r>
    </w:p>
    <w:p w14:paraId="129A2D68" w14:textId="77777777" w:rsidR="00454E93" w:rsidRPr="00F834F0" w:rsidRDefault="00454E93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Разходите за Персонал са в размер на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34</w:t>
      </w:r>
      <w:r w:rsidR="005B6D3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303 898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лв. и включват:</w:t>
      </w:r>
    </w:p>
    <w:p w14:paraId="3FCCA927" w14:textId="77777777" w:rsidR="00454E93" w:rsidRPr="00362A15" w:rsidRDefault="00454E93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Разходите за заплати към 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1EC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год. са в размер на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24</w:t>
      </w:r>
      <w:r w:rsidR="005B6D3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5B6D3C" w:rsidRPr="00020497">
        <w:rPr>
          <w:rFonts w:ascii="Times New Roman" w:eastAsia="Times New Roman" w:hAnsi="Times New Roman" w:cs="Times New Roman"/>
          <w:sz w:val="24"/>
          <w:szCs w:val="24"/>
        </w:rPr>
        <w:t>920 229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лв. и включват изплатените възнаграждения на персонала нает по трудови и служебни правоотношения за периода м. януари 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м. 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декември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62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98203C1" w14:textId="77777777" w:rsidR="00454E93" w:rsidRDefault="00454E93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Разходите за други възнаграждения и плащания са в размер на 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1 567 760</w:t>
      </w:r>
      <w:r w:rsidR="00EF0BED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в. По този параграф са отчетени изплатените възнаграждения на служителите по 66-то ПМС, за персонала по извън трудови правоотношения</w:t>
      </w:r>
      <w:r w:rsidR="00EF0B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/вкл. анкетьори/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, средства за представително облекло, средствата за СБКО на персонала изплатени по ведомост, обезщетения за  персонала, както и болничните за сметка на работодателя.</w:t>
      </w:r>
    </w:p>
    <w:p w14:paraId="7BD6BAA2" w14:textId="77777777" w:rsidR="00454E93" w:rsidRPr="00362A15" w:rsidRDefault="00454E93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62A1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азходите 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за задължителни осигурителни вноски от работодателя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в размер на 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7 815 909</w:t>
      </w:r>
      <w:r w:rsidR="00EF0BED">
        <w:rPr>
          <w:rFonts w:ascii="Times New Roman" w:eastAsia="Times New Roman" w:hAnsi="Times New Roman" w:cs="Times New Roman"/>
          <w:sz w:val="24"/>
          <w:szCs w:val="24"/>
        </w:rPr>
        <w:t xml:space="preserve">  л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в.</w:t>
      </w:r>
    </w:p>
    <w:p w14:paraId="77C2C98A" w14:textId="77777777" w:rsidR="008E663F" w:rsidRPr="00362A15" w:rsidRDefault="008E663F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ABA88" w14:textId="4A33A8B6" w:rsidR="005359D2" w:rsidRDefault="00454E93" w:rsidP="002B15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0">
        <w:rPr>
          <w:rFonts w:ascii="Times New Roman" w:eastAsia="Times New Roman" w:hAnsi="Times New Roman" w:cs="Times New Roman"/>
          <w:sz w:val="24"/>
          <w:szCs w:val="24"/>
        </w:rPr>
        <w:t>Разходите за издръжка към 3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B6D3C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F834F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834F0">
        <w:rPr>
          <w:rFonts w:ascii="Times New Roman" w:eastAsia="Times New Roman" w:hAnsi="Times New Roman" w:cs="Times New Roman"/>
          <w:sz w:val="24"/>
          <w:szCs w:val="24"/>
        </w:rPr>
        <w:t xml:space="preserve"> год. са в размер на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5 258 398</w:t>
      </w:r>
      <w:r w:rsidRPr="00F834F0">
        <w:rPr>
          <w:rFonts w:ascii="Times New Roman" w:eastAsia="Times New Roman" w:hAnsi="Times New Roman" w:cs="Times New Roman"/>
          <w:sz w:val="24"/>
          <w:szCs w:val="24"/>
        </w:rPr>
        <w:t xml:space="preserve"> лв</w:t>
      </w:r>
      <w:r w:rsidR="005B103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834F0">
        <w:rPr>
          <w:rFonts w:ascii="Times New Roman" w:eastAsia="Times New Roman" w:hAnsi="Times New Roman" w:cs="Times New Roman"/>
          <w:sz w:val="24"/>
          <w:szCs w:val="24"/>
        </w:rPr>
        <w:t>, като най-голям дял от разходите за издръжка заемат разходите за външни услуги в размер на</w:t>
      </w:r>
      <w:r w:rsidR="00904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0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559">
        <w:rPr>
          <w:rFonts w:ascii="Times New Roman" w:eastAsia="Times New Roman" w:hAnsi="Times New Roman" w:cs="Times New Roman"/>
          <w:sz w:val="24"/>
          <w:szCs w:val="24"/>
        </w:rPr>
        <w:t>3 096 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428</w:t>
      </w:r>
      <w:r w:rsidRPr="00F834F0">
        <w:rPr>
          <w:rFonts w:ascii="Times New Roman" w:eastAsia="Times New Roman" w:hAnsi="Times New Roman" w:cs="Times New Roman"/>
          <w:sz w:val="24"/>
          <w:szCs w:val="24"/>
        </w:rPr>
        <w:t xml:space="preserve"> лв., от които абонаментна поддръжка, охрана, разходи за поддръжка на софтуер и хардуер, разходи за пощенски, мобилни и стационарни телефонни услуги и други.</w:t>
      </w:r>
    </w:p>
    <w:p w14:paraId="4492AF93" w14:textId="77777777" w:rsidR="00454E93" w:rsidRPr="002B1559" w:rsidRDefault="00454E93" w:rsidP="00535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34F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Разходите за материали са в размер на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 xml:space="preserve">819 284 </w:t>
      </w:r>
      <w:r w:rsidRPr="00F834F0">
        <w:rPr>
          <w:rFonts w:ascii="Times New Roman" w:eastAsia="Times New Roman" w:hAnsi="Times New Roman" w:cs="Times New Roman"/>
          <w:sz w:val="24"/>
          <w:szCs w:val="24"/>
        </w:rPr>
        <w:t xml:space="preserve">лв. и включват разходи за канцеларски материали, за консумативи и </w:t>
      </w:r>
      <w:r w:rsidR="00C80AC2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Pr="00F834F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0AC2">
        <w:rPr>
          <w:rFonts w:ascii="Times New Roman" w:eastAsia="Times New Roman" w:hAnsi="Times New Roman" w:cs="Times New Roman"/>
          <w:sz w:val="24"/>
          <w:szCs w:val="24"/>
        </w:rPr>
        <w:t xml:space="preserve"> Съществен дял в разходите за издръжка заемат разходите за вода, горива и ел. енергия в размер на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693 320</w:t>
      </w:r>
      <w:r w:rsidR="004A4412" w:rsidRPr="00F834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AC2">
        <w:rPr>
          <w:rFonts w:ascii="Times New Roman" w:eastAsia="Times New Roman" w:hAnsi="Times New Roman" w:cs="Times New Roman"/>
          <w:sz w:val="24"/>
          <w:szCs w:val="24"/>
        </w:rPr>
        <w:t xml:space="preserve"> лева.</w:t>
      </w:r>
      <w:r w:rsidRPr="00112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666EC5" w14:textId="77777777" w:rsidR="00C80AC2" w:rsidRDefault="00C80AC2" w:rsidP="00454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B469A3" w14:textId="77777777" w:rsidR="00454E93" w:rsidRDefault="00C80AC2" w:rsidP="006805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Заплатените данъци за периода са в размер на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213 557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лв. и членски внос за участие в международни организации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 xml:space="preserve"> са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>2 944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лева.</w:t>
      </w:r>
    </w:p>
    <w:p w14:paraId="62456589" w14:textId="77777777" w:rsidR="006805E9" w:rsidRPr="00F834F0" w:rsidRDefault="006805E9" w:rsidP="006805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51203" w14:textId="77777777" w:rsidR="00454E93" w:rsidRPr="00362A15" w:rsidRDefault="00454E93" w:rsidP="004A4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15">
        <w:rPr>
          <w:rFonts w:ascii="Times New Roman" w:eastAsia="Times New Roman" w:hAnsi="Times New Roman" w:cs="Times New Roman"/>
          <w:sz w:val="24"/>
          <w:szCs w:val="24"/>
        </w:rPr>
        <w:t>Капиталовите разходи са в размер на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5 371 666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лв.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>, като</w:t>
      </w:r>
      <w:r w:rsidR="006805E9">
        <w:rPr>
          <w:rFonts w:ascii="Times New Roman" w:eastAsia="Times New Roman" w:hAnsi="Times New Roman" w:cs="Times New Roman"/>
          <w:sz w:val="24"/>
          <w:szCs w:val="24"/>
        </w:rPr>
        <w:t xml:space="preserve"> от тях</w:t>
      </w:r>
      <w:r w:rsidR="00FC4704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 xml:space="preserve">основен ремонт на дълготрайни материални активи са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444 360</w:t>
      </w:r>
      <w:r w:rsidR="006805E9">
        <w:rPr>
          <w:rFonts w:ascii="Times New Roman" w:eastAsia="Times New Roman" w:hAnsi="Times New Roman" w:cs="Times New Roman"/>
          <w:sz w:val="24"/>
          <w:szCs w:val="24"/>
        </w:rPr>
        <w:t xml:space="preserve"> лв.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>, за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>придобиване на</w:t>
      </w:r>
      <w:r w:rsidR="004A4412" w:rsidRPr="00362A15">
        <w:rPr>
          <w:rFonts w:ascii="Times New Roman" w:eastAsia="Times New Roman" w:hAnsi="Times New Roman" w:cs="Times New Roman"/>
          <w:sz w:val="24"/>
          <w:szCs w:val="24"/>
        </w:rPr>
        <w:t xml:space="preserve"> дълготрайни активи</w:t>
      </w:r>
      <w:r w:rsidR="004A4412"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5E9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1 423 621</w:t>
      </w:r>
      <w:r w:rsidR="006805E9">
        <w:rPr>
          <w:rFonts w:ascii="Times New Roman" w:eastAsia="Times New Roman" w:hAnsi="Times New Roman" w:cs="Times New Roman"/>
          <w:sz w:val="24"/>
          <w:szCs w:val="24"/>
        </w:rPr>
        <w:t xml:space="preserve"> лв. и 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придобиване на нематериални дълготрайни активи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412">
        <w:rPr>
          <w:rFonts w:ascii="Times New Roman" w:eastAsia="Times New Roman" w:hAnsi="Times New Roman" w:cs="Times New Roman"/>
          <w:sz w:val="24"/>
          <w:szCs w:val="24"/>
        </w:rPr>
        <w:t xml:space="preserve">са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3 503 685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лв.</w:t>
      </w:r>
      <w:r w:rsidR="00C80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A0BD61" w14:textId="77777777" w:rsidR="00454E93" w:rsidRPr="002B1559" w:rsidRDefault="00454E93" w:rsidP="00454E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E063C" w14:textId="77777777" w:rsidR="00454E93" w:rsidRPr="00362A15" w:rsidRDefault="00454E93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2A15">
        <w:rPr>
          <w:rFonts w:ascii="Times New Roman" w:eastAsia="Times New Roman" w:hAnsi="Times New Roman" w:cs="Times New Roman"/>
          <w:b/>
          <w:sz w:val="24"/>
          <w:szCs w:val="24"/>
        </w:rPr>
        <w:t xml:space="preserve">Дейност 282 </w:t>
      </w:r>
      <w:r w:rsidRPr="00953652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62A15">
        <w:rPr>
          <w:rFonts w:ascii="Times New Roman" w:eastAsia="Times New Roman" w:hAnsi="Times New Roman" w:cs="Times New Roman"/>
          <w:b/>
          <w:sz w:val="24"/>
          <w:szCs w:val="24"/>
        </w:rPr>
        <w:t xml:space="preserve"> Отбранително-мобилизационна подготовка, поддържане на запаси и мощности</w:t>
      </w:r>
    </w:p>
    <w:p w14:paraId="6191F706" w14:textId="77777777" w:rsidR="00454E93" w:rsidRPr="00953652" w:rsidRDefault="00454E93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Разходите за тази дейност са в размер на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343 147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лв.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BE891B" w14:textId="77777777" w:rsidR="000E364C" w:rsidRPr="00362A15" w:rsidRDefault="00454E93" w:rsidP="000E36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Разходите за </w:t>
      </w:r>
      <w:r w:rsidR="001072E6">
        <w:rPr>
          <w:rFonts w:ascii="Times New Roman" w:eastAsia="Times New Roman" w:hAnsi="Times New Roman" w:cs="Times New Roman"/>
          <w:sz w:val="24"/>
          <w:szCs w:val="24"/>
        </w:rPr>
        <w:t>персонал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към 3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95365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C779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г. са в размер на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338 763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лв. и включват </w:t>
      </w:r>
      <w:r w:rsidR="000E364C" w:rsidRPr="00362A15">
        <w:rPr>
          <w:rFonts w:ascii="Times New Roman" w:eastAsia="Times New Roman" w:hAnsi="Times New Roman" w:cs="Times New Roman"/>
          <w:sz w:val="24"/>
          <w:szCs w:val="24"/>
        </w:rPr>
        <w:t>изплатените възнаграждения на персонала нает по 31</w:t>
      </w:r>
      <w:r w:rsidR="000E364C">
        <w:rPr>
          <w:rFonts w:ascii="Times New Roman" w:eastAsia="Times New Roman" w:hAnsi="Times New Roman" w:cs="Times New Roman"/>
          <w:sz w:val="24"/>
          <w:szCs w:val="24"/>
        </w:rPr>
        <w:t>-во и 212 -то</w:t>
      </w:r>
      <w:r w:rsidR="000E364C" w:rsidRPr="00362A15">
        <w:rPr>
          <w:rFonts w:ascii="Times New Roman" w:eastAsia="Times New Roman" w:hAnsi="Times New Roman" w:cs="Times New Roman"/>
          <w:sz w:val="24"/>
          <w:szCs w:val="24"/>
        </w:rPr>
        <w:t xml:space="preserve"> ПМС, средствата за СБКО на персонала изплатени по ведомост, както и болничните за сметка на работодателя</w:t>
      </w:r>
      <w:r w:rsidR="000E36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E364C" w:rsidRPr="00362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9EA82D" w14:textId="77777777" w:rsidR="00454E93" w:rsidRPr="00362A15" w:rsidRDefault="00454E93" w:rsidP="00454E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62A15">
        <w:rPr>
          <w:rFonts w:ascii="Times New Roman" w:eastAsia="Times New Roman" w:hAnsi="Times New Roman" w:cs="Times New Roman"/>
          <w:sz w:val="24"/>
          <w:szCs w:val="24"/>
          <w:lang w:val="ru-RU"/>
        </w:rPr>
        <w:t>в т.ч. разходите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 xml:space="preserve"> за задължителни осигурителни вноски от работодателя в размер на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54 611</w:t>
      </w:r>
      <w:r w:rsidR="000B514C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r w:rsidRPr="00362A15">
        <w:rPr>
          <w:rFonts w:ascii="Times New Roman" w:eastAsia="Times New Roman" w:hAnsi="Times New Roman" w:cs="Times New Roman"/>
          <w:sz w:val="24"/>
          <w:szCs w:val="24"/>
        </w:rPr>
        <w:t>в.</w:t>
      </w:r>
    </w:p>
    <w:p w14:paraId="18A6983F" w14:textId="77777777" w:rsidR="00454E93" w:rsidRPr="008E663F" w:rsidRDefault="000B514C" w:rsidP="000B5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Разходите за издръжка </w:t>
      </w:r>
      <w:r w:rsidR="00454E93" w:rsidRPr="00362A15">
        <w:rPr>
          <w:rFonts w:ascii="Times New Roman" w:eastAsia="Times New Roman" w:hAnsi="Times New Roman" w:cs="Times New Roman"/>
          <w:sz w:val="24"/>
          <w:szCs w:val="24"/>
        </w:rPr>
        <w:t xml:space="preserve">са в размер на </w:t>
      </w:r>
      <w:r w:rsidR="005C39F6">
        <w:rPr>
          <w:rFonts w:ascii="Times New Roman" w:eastAsia="Times New Roman" w:hAnsi="Times New Roman" w:cs="Times New Roman"/>
          <w:sz w:val="24"/>
          <w:szCs w:val="24"/>
        </w:rPr>
        <w:t>4 384</w:t>
      </w:r>
      <w:r w:rsidR="00454E93">
        <w:rPr>
          <w:rFonts w:ascii="Times New Roman" w:eastAsia="Times New Roman" w:hAnsi="Times New Roman" w:cs="Times New Roman"/>
          <w:sz w:val="24"/>
          <w:szCs w:val="24"/>
        </w:rPr>
        <w:t xml:space="preserve"> лв.</w:t>
      </w:r>
      <w:r w:rsidR="007A4677">
        <w:rPr>
          <w:rFonts w:ascii="Times New Roman" w:eastAsia="Times New Roman" w:hAnsi="Times New Roman" w:cs="Times New Roman"/>
          <w:sz w:val="24"/>
          <w:szCs w:val="24"/>
        </w:rPr>
        <w:t>, които включват предимно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2E6">
        <w:rPr>
          <w:rFonts w:ascii="Times New Roman" w:eastAsia="Times New Roman" w:hAnsi="Times New Roman" w:cs="Times New Roman"/>
          <w:sz w:val="24"/>
          <w:szCs w:val="24"/>
        </w:rPr>
        <w:t>материали.</w:t>
      </w:r>
      <w:r w:rsidR="00454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2E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54E93">
        <w:rPr>
          <w:rFonts w:ascii="Times New Roman" w:eastAsia="Times New Roman" w:hAnsi="Times New Roman" w:cs="Times New Roman"/>
          <w:sz w:val="24"/>
          <w:szCs w:val="24"/>
        </w:rPr>
        <w:t xml:space="preserve">апиталови разходи </w:t>
      </w:r>
      <w:r w:rsidR="001072E6">
        <w:rPr>
          <w:rFonts w:ascii="Times New Roman" w:eastAsia="Times New Roman" w:hAnsi="Times New Roman" w:cs="Times New Roman"/>
          <w:sz w:val="24"/>
          <w:szCs w:val="24"/>
        </w:rPr>
        <w:t>към момента не са извършени</w:t>
      </w:r>
      <w:r w:rsidR="00454E93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4E93" w:rsidRPr="00362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A2B70D1" w14:textId="77777777" w:rsidR="00454E93" w:rsidRDefault="00454E93" w:rsidP="00454E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93EA26" w14:textId="77777777" w:rsidR="00536CFD" w:rsidRDefault="00536CFD" w:rsidP="00454E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AA70B" w14:textId="77777777" w:rsidR="00985288" w:rsidRDefault="00985288" w:rsidP="00985288">
      <w:pPr>
        <w:spacing w:line="240" w:lineRule="auto"/>
        <w:rPr>
          <w:rFonts w:ascii="Times New Roman" w:hAnsi="Times New Roman"/>
        </w:rPr>
      </w:pPr>
      <w:r w:rsidRPr="00536CFD">
        <w:rPr>
          <w:rFonts w:ascii="Times New Roman" w:hAnsi="Times New Roman"/>
          <w:b/>
        </w:rPr>
        <w:t>Приложение № 2б</w:t>
      </w:r>
      <w:r w:rsidRPr="00536CFD">
        <w:rPr>
          <w:rFonts w:ascii="Times New Roman" w:hAnsi="Times New Roman"/>
        </w:rPr>
        <w:t xml:space="preserve"> – Отчет на консолидираните разходи по бюджетните програми в рамките на съответните области на политики/функционални области</w:t>
      </w:r>
    </w:p>
    <w:p w14:paraId="2A3738EC" w14:textId="77777777" w:rsidR="00536CFD" w:rsidRPr="00536CFD" w:rsidRDefault="00536CFD" w:rsidP="00985288">
      <w:pPr>
        <w:spacing w:line="240" w:lineRule="auto"/>
        <w:rPr>
          <w:rFonts w:ascii="Times New Roman" w:hAnsi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993"/>
        <w:gridCol w:w="992"/>
        <w:gridCol w:w="850"/>
        <w:gridCol w:w="993"/>
        <w:gridCol w:w="992"/>
        <w:gridCol w:w="992"/>
        <w:gridCol w:w="709"/>
        <w:gridCol w:w="850"/>
        <w:gridCol w:w="851"/>
      </w:tblGrid>
      <w:tr w:rsidR="00536CFD" w:rsidRPr="006C56B0" w14:paraId="2737783F" w14:textId="77777777" w:rsidTr="00AD4182">
        <w:trPr>
          <w:trHeight w:val="420"/>
        </w:trPr>
        <w:tc>
          <w:tcPr>
            <w:tcW w:w="993" w:type="dxa"/>
            <w:shd w:val="clear" w:color="auto" w:fill="D9D9D9"/>
            <w:vAlign w:val="center"/>
            <w:hideMark/>
          </w:tcPr>
          <w:p w14:paraId="238F8D1A" w14:textId="77777777" w:rsidR="00985288" w:rsidRPr="00985288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852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>Код*</w:t>
            </w:r>
          </w:p>
        </w:tc>
        <w:tc>
          <w:tcPr>
            <w:tcW w:w="1417" w:type="dxa"/>
            <w:shd w:val="clear" w:color="auto" w:fill="D9D9D9"/>
            <w:vAlign w:val="center"/>
            <w:hideMark/>
          </w:tcPr>
          <w:p w14:paraId="5524F057" w14:textId="77777777" w:rsidR="00985288" w:rsidRPr="00985288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852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>ОБЛАСТИ НА ПОЛИТИКИ/</w:t>
            </w:r>
            <w:r w:rsidR="00536CF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</w:t>
            </w:r>
            <w:r w:rsidRPr="009852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>ФУНКЦИОНАЛНИ ОБЛАСТИ</w:t>
            </w:r>
          </w:p>
          <w:p w14:paraId="052527E7" w14:textId="77777777" w:rsidR="00985288" w:rsidRPr="00536CFD" w:rsidRDefault="00985288" w:rsidP="00536C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852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И БЮДЖЕТНИ ПРОГРАМИ </w:t>
            </w:r>
          </w:p>
        </w:tc>
        <w:tc>
          <w:tcPr>
            <w:tcW w:w="2835" w:type="dxa"/>
            <w:gridSpan w:val="3"/>
            <w:shd w:val="clear" w:color="auto" w:fill="D9D9D9"/>
            <w:vAlign w:val="center"/>
            <w:hideMark/>
          </w:tcPr>
          <w:p w14:paraId="7D788AC7" w14:textId="77777777" w:rsidR="00985288" w:rsidRPr="00985288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852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>Консолидирани разходи</w:t>
            </w:r>
          </w:p>
        </w:tc>
        <w:tc>
          <w:tcPr>
            <w:tcW w:w="2977" w:type="dxa"/>
            <w:gridSpan w:val="3"/>
            <w:shd w:val="clear" w:color="auto" w:fill="D9D9D9"/>
            <w:vAlign w:val="center"/>
            <w:hideMark/>
          </w:tcPr>
          <w:p w14:paraId="1470E789" w14:textId="77777777" w:rsidR="00985288" w:rsidRPr="00985288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852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>Ведомствени разходи</w:t>
            </w:r>
          </w:p>
        </w:tc>
        <w:tc>
          <w:tcPr>
            <w:tcW w:w="2410" w:type="dxa"/>
            <w:gridSpan w:val="3"/>
            <w:shd w:val="clear" w:color="auto" w:fill="D9D9D9"/>
            <w:vAlign w:val="center"/>
            <w:hideMark/>
          </w:tcPr>
          <w:p w14:paraId="4A6F3455" w14:textId="77777777" w:rsidR="00985288" w:rsidRPr="00985288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98528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>Администрирани разходи</w:t>
            </w:r>
          </w:p>
        </w:tc>
      </w:tr>
      <w:tr w:rsidR="00536CFD" w:rsidRPr="006C56B0" w14:paraId="3D5BCE44" w14:textId="77777777" w:rsidTr="00AD4182">
        <w:trPr>
          <w:trHeight w:val="772"/>
        </w:trPr>
        <w:tc>
          <w:tcPr>
            <w:tcW w:w="993" w:type="dxa"/>
            <w:shd w:val="clear" w:color="auto" w:fill="auto"/>
            <w:vAlign w:val="center"/>
            <w:hideMark/>
          </w:tcPr>
          <w:p w14:paraId="160CDAC9" w14:textId="77777777" w:rsidR="00985288" w:rsidRPr="006C56B0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6C56B0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3218F4" w14:textId="77777777" w:rsidR="00985288" w:rsidRPr="00536CFD" w:rsidRDefault="00985288" w:rsidP="00985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CFD">
              <w:rPr>
                <w:rFonts w:ascii="Times New Roman" w:hAnsi="Times New Roman"/>
                <w:b/>
                <w:bCs/>
                <w:sz w:val="16"/>
                <w:szCs w:val="16"/>
              </w:rPr>
              <w:t>на Национален статистически институт</w:t>
            </w:r>
          </w:p>
          <w:p w14:paraId="4AF40A81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bCs/>
                <w:sz w:val="16"/>
                <w:szCs w:val="16"/>
              </w:rPr>
              <w:t>(в лева)</w:t>
            </w:r>
            <w:r w:rsidRPr="00536CF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es-ES_tradnl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43C3BE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ES_tradnl"/>
              </w:rPr>
              <w:t>Общо разходи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B91170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  <w:t>По бюджета на ПРБ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7DEBF1F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  <w:t>По други бюджети и сметки за средства от ЕС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756BC09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ES_tradnl"/>
              </w:rPr>
              <w:t>Общо ведомствени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7892D1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  <w:t>По бюджета на ПРБ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A524D4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  <w:t>По други бюджети и сметки за средства от ЕС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82CF1A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color w:val="000000"/>
                <w:sz w:val="16"/>
                <w:szCs w:val="16"/>
                <w:lang w:eastAsia="es-ES_tradnl"/>
              </w:rPr>
              <w:t>Общо администрирани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4FFC79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  <w:t>По бюджета на ПРБ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959AAE" w14:textId="77777777" w:rsidR="00985288" w:rsidRPr="00536CFD" w:rsidRDefault="00985288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</w:pPr>
            <w:r w:rsidRPr="00536CFD">
              <w:rPr>
                <w:rFonts w:ascii="Times New Roman" w:hAnsi="Times New Roman"/>
                <w:b/>
                <w:i/>
                <w:iCs/>
                <w:color w:val="000000"/>
                <w:sz w:val="16"/>
                <w:szCs w:val="16"/>
                <w:lang w:eastAsia="es-ES_tradnl"/>
              </w:rPr>
              <w:t>По други бюджети и сметки за средства от ЕС</w:t>
            </w:r>
          </w:p>
        </w:tc>
      </w:tr>
      <w:tr w:rsidR="00536CFD" w:rsidRPr="006C56B0" w14:paraId="3CCAAD25" w14:textId="77777777" w:rsidTr="005C39F6">
        <w:trPr>
          <w:trHeight w:val="315"/>
        </w:trPr>
        <w:tc>
          <w:tcPr>
            <w:tcW w:w="993" w:type="dxa"/>
            <w:shd w:val="clear" w:color="auto" w:fill="BFBFBF"/>
            <w:vAlign w:val="bottom"/>
            <w:hideMark/>
          </w:tcPr>
          <w:p w14:paraId="0604E45E" w14:textId="77777777" w:rsidR="00985288" w:rsidRPr="00365C3C" w:rsidRDefault="00985288" w:rsidP="0098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4100.00.00</w:t>
            </w:r>
          </w:p>
        </w:tc>
        <w:tc>
          <w:tcPr>
            <w:tcW w:w="1417" w:type="dxa"/>
            <w:shd w:val="clear" w:color="auto" w:fill="BFBFBF"/>
            <w:vAlign w:val="bottom"/>
            <w:hideMark/>
          </w:tcPr>
          <w:p w14:paraId="04B99F94" w14:textId="77777777" w:rsidR="00985288" w:rsidRPr="00365C3C" w:rsidRDefault="00985288" w:rsidP="00985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Общо разходи</w:t>
            </w:r>
          </w:p>
        </w:tc>
        <w:tc>
          <w:tcPr>
            <w:tcW w:w="993" w:type="dxa"/>
            <w:shd w:val="clear" w:color="auto" w:fill="BFBFBF"/>
            <w:vAlign w:val="bottom"/>
          </w:tcPr>
          <w:p w14:paraId="602B916F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51 918 991</w:t>
            </w:r>
          </w:p>
        </w:tc>
        <w:tc>
          <w:tcPr>
            <w:tcW w:w="992" w:type="dxa"/>
            <w:shd w:val="clear" w:color="auto" w:fill="BFBFBF"/>
            <w:vAlign w:val="bottom"/>
            <w:hideMark/>
          </w:tcPr>
          <w:p w14:paraId="027730A9" w14:textId="77777777" w:rsidR="00985288" w:rsidRPr="00365C3C" w:rsidRDefault="005C39F6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5C39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45 543 610</w:t>
            </w:r>
          </w:p>
        </w:tc>
        <w:tc>
          <w:tcPr>
            <w:tcW w:w="850" w:type="dxa"/>
            <w:shd w:val="clear" w:color="auto" w:fill="BFBFBF"/>
            <w:vAlign w:val="bottom"/>
            <w:hideMark/>
          </w:tcPr>
          <w:p w14:paraId="31927500" w14:textId="77777777" w:rsidR="00985288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  <w:p w14:paraId="5A9F3DEB" w14:textId="77777777" w:rsidR="000277A5" w:rsidRPr="00365C3C" w:rsidRDefault="000277A5" w:rsidP="00027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6 375 381</w:t>
            </w:r>
          </w:p>
        </w:tc>
        <w:tc>
          <w:tcPr>
            <w:tcW w:w="993" w:type="dxa"/>
            <w:shd w:val="clear" w:color="auto" w:fill="BFBFBF"/>
            <w:vAlign w:val="bottom"/>
          </w:tcPr>
          <w:p w14:paraId="2A1744B4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51 918 991</w:t>
            </w:r>
          </w:p>
        </w:tc>
        <w:tc>
          <w:tcPr>
            <w:tcW w:w="992" w:type="dxa"/>
            <w:shd w:val="clear" w:color="auto" w:fill="BFBFBF"/>
            <w:vAlign w:val="bottom"/>
            <w:hideMark/>
          </w:tcPr>
          <w:p w14:paraId="59B3692F" w14:textId="77777777" w:rsidR="00985288" w:rsidRPr="00365C3C" w:rsidRDefault="005C39F6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5C39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45 543 610</w:t>
            </w:r>
          </w:p>
        </w:tc>
        <w:tc>
          <w:tcPr>
            <w:tcW w:w="992" w:type="dxa"/>
            <w:shd w:val="clear" w:color="auto" w:fill="BFBFBF"/>
            <w:vAlign w:val="bottom"/>
          </w:tcPr>
          <w:p w14:paraId="52D707F7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6 375 381</w:t>
            </w:r>
          </w:p>
        </w:tc>
        <w:tc>
          <w:tcPr>
            <w:tcW w:w="709" w:type="dxa"/>
            <w:shd w:val="clear" w:color="auto" w:fill="BFBFBF"/>
            <w:vAlign w:val="bottom"/>
            <w:hideMark/>
          </w:tcPr>
          <w:p w14:paraId="1E596B0B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BFBFBF"/>
            <w:vAlign w:val="bottom"/>
            <w:hideMark/>
          </w:tcPr>
          <w:p w14:paraId="676C5671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shd w:val="clear" w:color="auto" w:fill="BFBFBF"/>
            <w:vAlign w:val="bottom"/>
            <w:hideMark/>
          </w:tcPr>
          <w:p w14:paraId="423D17E6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536CFD" w:rsidRPr="006C56B0" w14:paraId="31600569" w14:textId="77777777" w:rsidTr="005C39F6">
        <w:trPr>
          <w:trHeight w:val="315"/>
        </w:trPr>
        <w:tc>
          <w:tcPr>
            <w:tcW w:w="993" w:type="dxa"/>
            <w:shd w:val="clear" w:color="auto" w:fill="D9D9D9"/>
            <w:vAlign w:val="bottom"/>
            <w:hideMark/>
          </w:tcPr>
          <w:p w14:paraId="46612F12" w14:textId="77777777" w:rsidR="00985288" w:rsidRPr="00365C3C" w:rsidRDefault="00985288" w:rsidP="0098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4100.01.00</w:t>
            </w:r>
          </w:p>
        </w:tc>
        <w:tc>
          <w:tcPr>
            <w:tcW w:w="1417" w:type="dxa"/>
            <w:shd w:val="clear" w:color="auto" w:fill="D9D9D9"/>
            <w:vAlign w:val="bottom"/>
            <w:hideMark/>
          </w:tcPr>
          <w:p w14:paraId="19579C15" w14:textId="77777777" w:rsidR="00985288" w:rsidRPr="00365C3C" w:rsidRDefault="00985288" w:rsidP="0098528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Функционална </w:t>
            </w:r>
            <w:r w:rsidR="00536CF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област „</w:t>
            </w:r>
            <w:r w:rsidRPr="00365C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bg-BG"/>
              </w:rPr>
              <w:t>Безпристрастна, обективна, навременна и точна информация за състоянието на Република България“</w:t>
            </w:r>
          </w:p>
        </w:tc>
        <w:tc>
          <w:tcPr>
            <w:tcW w:w="993" w:type="dxa"/>
            <w:shd w:val="clear" w:color="auto" w:fill="D9D9D9"/>
            <w:vAlign w:val="bottom"/>
          </w:tcPr>
          <w:p w14:paraId="510BA39A" w14:textId="77777777" w:rsidR="00985288" w:rsidRPr="00365C3C" w:rsidRDefault="000277A5" w:rsidP="005C39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51 918 991</w:t>
            </w:r>
          </w:p>
        </w:tc>
        <w:tc>
          <w:tcPr>
            <w:tcW w:w="992" w:type="dxa"/>
            <w:shd w:val="clear" w:color="auto" w:fill="D9D9D9"/>
            <w:vAlign w:val="bottom"/>
            <w:hideMark/>
          </w:tcPr>
          <w:p w14:paraId="469019D8" w14:textId="77777777" w:rsidR="00985288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  <w:p w14:paraId="213C5793" w14:textId="77777777" w:rsidR="00985288" w:rsidRPr="00365C3C" w:rsidRDefault="005C39F6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5C39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45 543 610</w:t>
            </w:r>
          </w:p>
        </w:tc>
        <w:tc>
          <w:tcPr>
            <w:tcW w:w="850" w:type="dxa"/>
            <w:shd w:val="clear" w:color="auto" w:fill="D9D9D9"/>
            <w:vAlign w:val="bottom"/>
          </w:tcPr>
          <w:p w14:paraId="22F86FA8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6 375 381</w:t>
            </w:r>
          </w:p>
        </w:tc>
        <w:tc>
          <w:tcPr>
            <w:tcW w:w="993" w:type="dxa"/>
            <w:shd w:val="clear" w:color="auto" w:fill="D9D9D9"/>
            <w:vAlign w:val="bottom"/>
          </w:tcPr>
          <w:p w14:paraId="2FE03DEC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51 918 991</w:t>
            </w:r>
          </w:p>
        </w:tc>
        <w:tc>
          <w:tcPr>
            <w:tcW w:w="992" w:type="dxa"/>
            <w:shd w:val="clear" w:color="auto" w:fill="D9D9D9"/>
            <w:vAlign w:val="bottom"/>
            <w:hideMark/>
          </w:tcPr>
          <w:p w14:paraId="48B461EC" w14:textId="77777777" w:rsidR="00985288" w:rsidRPr="00365C3C" w:rsidRDefault="005C39F6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5C39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45 543 610</w:t>
            </w:r>
          </w:p>
        </w:tc>
        <w:tc>
          <w:tcPr>
            <w:tcW w:w="992" w:type="dxa"/>
            <w:shd w:val="clear" w:color="auto" w:fill="D9D9D9"/>
            <w:vAlign w:val="bottom"/>
          </w:tcPr>
          <w:p w14:paraId="4B1D76BF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6 375 381</w:t>
            </w:r>
          </w:p>
        </w:tc>
        <w:tc>
          <w:tcPr>
            <w:tcW w:w="709" w:type="dxa"/>
            <w:shd w:val="clear" w:color="auto" w:fill="D9D9D9"/>
            <w:vAlign w:val="bottom"/>
            <w:hideMark/>
          </w:tcPr>
          <w:p w14:paraId="44615953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50" w:type="dxa"/>
            <w:shd w:val="clear" w:color="auto" w:fill="D9D9D9"/>
            <w:vAlign w:val="bottom"/>
            <w:hideMark/>
          </w:tcPr>
          <w:p w14:paraId="65AC9A1E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851" w:type="dxa"/>
            <w:shd w:val="clear" w:color="auto" w:fill="D9D9D9"/>
            <w:vAlign w:val="bottom"/>
            <w:hideMark/>
          </w:tcPr>
          <w:p w14:paraId="29A1705A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536CFD" w:rsidRPr="006C56B0" w14:paraId="341B3DD1" w14:textId="77777777" w:rsidTr="005C39F6">
        <w:trPr>
          <w:trHeight w:val="330"/>
        </w:trPr>
        <w:tc>
          <w:tcPr>
            <w:tcW w:w="993" w:type="dxa"/>
            <w:shd w:val="clear" w:color="auto" w:fill="auto"/>
            <w:vAlign w:val="bottom"/>
            <w:hideMark/>
          </w:tcPr>
          <w:p w14:paraId="4BBC6962" w14:textId="77777777" w:rsidR="00985288" w:rsidRPr="00365C3C" w:rsidRDefault="00985288" w:rsidP="0098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4100.01.01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6239F15" w14:textId="77777777" w:rsidR="00985288" w:rsidRPr="00365C3C" w:rsidRDefault="00536CFD" w:rsidP="009852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Бюджетна програма „</w:t>
            </w:r>
            <w:r w:rsidR="00985288" w:rsidRPr="00365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Национална статистическа програма"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F9AB13B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51 918 991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1C8E2503" w14:textId="77777777" w:rsidR="00985288" w:rsidRPr="00365C3C" w:rsidRDefault="005C39F6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5C39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45 543 610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142EB23E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6 375 381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5E78B94E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51 918 991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5869DBCC" w14:textId="77777777" w:rsidR="00985288" w:rsidRPr="00365C3C" w:rsidRDefault="005C39F6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5C39F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45 543 610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022019D" w14:textId="77777777" w:rsidR="00985288" w:rsidRPr="00365C3C" w:rsidRDefault="000277A5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0277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6 375 381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3A4E270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8FCD03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2B8BC43" w14:textId="77777777" w:rsidR="00985288" w:rsidRPr="00365C3C" w:rsidRDefault="00985288" w:rsidP="00985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</w:pPr>
            <w:r w:rsidRPr="00365C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</w:tbl>
    <w:p w14:paraId="141F4EEC" w14:textId="77777777" w:rsidR="00985288" w:rsidRDefault="00985288" w:rsidP="00454E9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237EF7" w14:textId="77777777" w:rsidR="007A4677" w:rsidRDefault="007A4677" w:rsidP="006031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CCA8B4B" w14:textId="77777777" w:rsidR="007A4677" w:rsidRDefault="007A4677" w:rsidP="006031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14E939D" w14:textId="77777777" w:rsidR="007A4677" w:rsidRDefault="007A4677" w:rsidP="0060316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81BFEE" w14:textId="77777777" w:rsidR="00603165" w:rsidRDefault="00603165" w:rsidP="0060316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7A4677">
        <w:rPr>
          <w:rFonts w:ascii="Times New Roman" w:eastAsia="Times New Roman" w:hAnsi="Times New Roman" w:cs="Times New Roman"/>
          <w:b/>
        </w:rPr>
        <w:t>Приложение № 3</w:t>
      </w:r>
      <w:r w:rsidRPr="007A4677">
        <w:rPr>
          <w:rFonts w:ascii="Times New Roman" w:eastAsia="Times New Roman" w:hAnsi="Times New Roman" w:cs="Times New Roman"/>
        </w:rPr>
        <w:t xml:space="preserve"> –</w:t>
      </w:r>
      <w:r w:rsidR="006959D9">
        <w:rPr>
          <w:rFonts w:ascii="Times New Roman" w:eastAsia="Times New Roman" w:hAnsi="Times New Roman" w:cs="Times New Roman"/>
        </w:rPr>
        <w:t xml:space="preserve"> </w:t>
      </w:r>
      <w:r w:rsidRPr="007A4677">
        <w:rPr>
          <w:rFonts w:ascii="Times New Roman" w:eastAsia="Times New Roman" w:hAnsi="Times New Roman" w:cs="Times New Roman"/>
        </w:rPr>
        <w:t>Финансиране на консолидираните разходи</w:t>
      </w:r>
    </w:p>
    <w:p w14:paraId="52ACFBC1" w14:textId="77777777" w:rsidR="006959D9" w:rsidRDefault="006959D9" w:rsidP="0060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430356" w14:textId="77777777" w:rsidR="006959D9" w:rsidRDefault="006959D9" w:rsidP="0060316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5776" w:type="pct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2"/>
        <w:gridCol w:w="1278"/>
        <w:gridCol w:w="1276"/>
        <w:gridCol w:w="1416"/>
      </w:tblGrid>
      <w:tr w:rsidR="006D6832" w:rsidRPr="00FD4773" w14:paraId="04B751BC" w14:textId="77777777" w:rsidTr="001B602C">
        <w:trPr>
          <w:trHeight w:val="675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2E3ED7C" w14:textId="77777777" w:rsidR="006959D9" w:rsidRPr="00FD4773" w:rsidRDefault="006959D9" w:rsidP="000F7D71">
            <w:pPr>
              <w:spacing w:before="12" w:after="12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sz w:val="18"/>
                <w:szCs w:val="18"/>
              </w:rPr>
              <w:t>Финансиране на консолидираните разходи, обхванати в програмния бюджет</w:t>
            </w:r>
          </w:p>
          <w:p w14:paraId="4D1A6F75" w14:textId="77777777" w:rsidR="006959D9" w:rsidRPr="00FD4773" w:rsidRDefault="006959D9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bCs/>
                <w:sz w:val="18"/>
                <w:szCs w:val="18"/>
              </w:rPr>
              <w:t>(в лева)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2CB4D" w14:textId="77777777" w:rsidR="006959D9" w:rsidRPr="00FD4773" w:rsidRDefault="006959D9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bCs/>
                <w:sz w:val="18"/>
                <w:szCs w:val="18"/>
              </w:rPr>
              <w:t>Закон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ADFCBF" w14:textId="77777777" w:rsidR="006959D9" w:rsidRPr="00FD4773" w:rsidRDefault="006959D9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sz w:val="18"/>
                <w:szCs w:val="18"/>
              </w:rPr>
              <w:t>Уточнен план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618F0" w14:textId="77777777" w:rsidR="006959D9" w:rsidRPr="00FD4773" w:rsidRDefault="006959D9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bCs/>
                <w:sz w:val="18"/>
                <w:szCs w:val="18"/>
              </w:rPr>
              <w:t>Отчет</w:t>
            </w:r>
          </w:p>
        </w:tc>
      </w:tr>
      <w:tr w:rsidR="006D6832" w:rsidRPr="00FD4773" w14:paraId="5AF6CEC0" w14:textId="77777777" w:rsidTr="001B602C">
        <w:trPr>
          <w:trHeight w:val="255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7C742AA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bCs/>
                <w:sz w:val="18"/>
                <w:szCs w:val="18"/>
              </w:rPr>
              <w:t>Общо консолидирани разходи: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0255220F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48 895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7084769" w14:textId="77777777" w:rsidR="006959D9" w:rsidRPr="00603165" w:rsidRDefault="000277A5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51 053 317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3A84F4B" w14:textId="77777777" w:rsidR="006959D9" w:rsidRPr="00603165" w:rsidRDefault="000277A5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77A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51 918 991</w:t>
            </w:r>
          </w:p>
        </w:tc>
      </w:tr>
      <w:tr w:rsidR="006D6832" w:rsidRPr="00FD4773" w14:paraId="5A69A253" w14:textId="77777777" w:rsidTr="001B602C">
        <w:trPr>
          <w:trHeight w:val="255"/>
        </w:trPr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666F98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bCs/>
                <w:sz w:val="18"/>
                <w:szCs w:val="18"/>
              </w:rPr>
              <w:t>Общо финансиране: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79D3FDDF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48 895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54BF442E" w14:textId="77777777" w:rsidR="006959D9" w:rsidRPr="00603165" w:rsidRDefault="000277A5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77A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51 053 317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48A76F67" w14:textId="77777777" w:rsidR="006959D9" w:rsidRPr="00603165" w:rsidRDefault="000277A5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77A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51 918 991</w:t>
            </w:r>
          </w:p>
        </w:tc>
      </w:tr>
      <w:tr w:rsidR="006D6832" w:rsidRPr="00FD4773" w14:paraId="7F194186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372D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   Бюджет на ПРБ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277D7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46 101 000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3951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46 196 624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9378" w14:textId="77777777" w:rsidR="006959D9" w:rsidRPr="00603165" w:rsidRDefault="000277A5" w:rsidP="00027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7A5">
              <w:rPr>
                <w:rFonts w:ascii="Times New Roman" w:eastAsia="Times New Roman" w:hAnsi="Times New Roman" w:cs="Times New Roman"/>
                <w:sz w:val="18"/>
                <w:szCs w:val="18"/>
              </w:rPr>
              <w:t>45 543 610</w:t>
            </w:r>
          </w:p>
        </w:tc>
      </w:tr>
      <w:tr w:rsidR="006D6832" w:rsidRPr="00FD4773" w14:paraId="144ED1E3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B735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b/>
                <w:iCs/>
                <w:sz w:val="18"/>
                <w:szCs w:val="18"/>
              </w:rPr>
              <w:t xml:space="preserve">   Други бюджети и сметки за средства от ЕС, в т.ч. от: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13BE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498C">
              <w:rPr>
                <w:rFonts w:ascii="Times New Roman" w:eastAsia="Times New Roman" w:hAnsi="Times New Roman" w:cs="Times New Roman"/>
                <w:sz w:val="18"/>
                <w:szCs w:val="18"/>
              </w:rPr>
              <w:t>2 794 000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2F4C" w14:textId="77777777" w:rsidR="006959D9" w:rsidRPr="00603165" w:rsidRDefault="000277A5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4 856 693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5731" w14:textId="77777777" w:rsidR="006959D9" w:rsidRPr="00603165" w:rsidRDefault="000277A5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7A5">
              <w:rPr>
                <w:rFonts w:ascii="Times New Roman" w:eastAsia="Times New Roman" w:hAnsi="Times New Roman" w:cs="Times New Roman"/>
                <w:sz w:val="18"/>
                <w:szCs w:val="18"/>
              </w:rPr>
              <w:t>6 375 381</w:t>
            </w:r>
          </w:p>
        </w:tc>
      </w:tr>
      <w:tr w:rsidR="006D6832" w:rsidRPr="00FD4773" w14:paraId="100BE407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6B833" w14:textId="77777777" w:rsidR="006959D9" w:rsidRPr="00FD4773" w:rsidRDefault="006959D9" w:rsidP="006959D9">
            <w:pPr>
              <w:numPr>
                <w:ilvl w:val="0"/>
                <w:numId w:val="20"/>
              </w:numPr>
              <w:spacing w:after="0" w:line="240" w:lineRule="auto"/>
              <w:ind w:left="371" w:hanging="142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iCs/>
                <w:sz w:val="18"/>
                <w:szCs w:val="18"/>
              </w:rPr>
              <w:t>Централен бюджет, в т.ч.: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541FB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14900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A4090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6832" w:rsidRPr="00FD4773" w14:paraId="760D4B72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A301" w14:textId="77777777" w:rsidR="006959D9" w:rsidRPr="00FD4773" w:rsidRDefault="006959D9" w:rsidP="006959D9">
            <w:pPr>
              <w:spacing w:after="0" w:line="240" w:lineRule="auto"/>
              <w:ind w:left="371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iCs/>
                <w:sz w:val="18"/>
                <w:szCs w:val="18"/>
              </w:rPr>
              <w:t xml:space="preserve">     Държавни инвестиционни заеми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3B9F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2FEF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B054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6832" w:rsidRPr="00FD4773" w14:paraId="1D7ACC73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458CF" w14:textId="77777777" w:rsidR="006959D9" w:rsidRPr="00FD4773" w:rsidRDefault="006959D9" w:rsidP="006959D9">
            <w:pPr>
              <w:numPr>
                <w:ilvl w:val="0"/>
                <w:numId w:val="20"/>
              </w:numPr>
              <w:spacing w:after="0" w:line="240" w:lineRule="auto"/>
              <w:ind w:left="371" w:hanging="142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iCs/>
                <w:sz w:val="18"/>
                <w:szCs w:val="18"/>
              </w:rPr>
              <w:t>Сметки за средства от ЕС (ССЕС на НФ и на ДФЗ)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FFBE7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2 794 000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ACC1" w14:textId="77777777" w:rsidR="006959D9" w:rsidRPr="00603165" w:rsidRDefault="000277A5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77A5">
              <w:rPr>
                <w:rFonts w:ascii="Times New Roman" w:eastAsia="Times New Roman" w:hAnsi="Times New Roman" w:cs="Times New Roman"/>
                <w:sz w:val="18"/>
                <w:szCs w:val="18"/>
              </w:rPr>
              <w:t>4 856 693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27CD" w14:textId="77777777" w:rsidR="006959D9" w:rsidRPr="00603165" w:rsidRDefault="006959D9" w:rsidP="000277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3165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0277A5">
              <w:rPr>
                <w:rFonts w:ascii="Times New Roman" w:eastAsia="Times New Roman" w:hAnsi="Times New Roman" w:cs="Times New Roman"/>
                <w:sz w:val="18"/>
                <w:szCs w:val="18"/>
              </w:rPr>
              <w:t>4 856 693</w:t>
            </w:r>
          </w:p>
        </w:tc>
      </w:tr>
      <w:tr w:rsidR="006D6832" w:rsidRPr="00FD4773" w14:paraId="681A82E8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1D9D" w14:textId="77777777" w:rsidR="006959D9" w:rsidRPr="00FD4773" w:rsidRDefault="006959D9" w:rsidP="006959D9">
            <w:pPr>
              <w:numPr>
                <w:ilvl w:val="0"/>
                <w:numId w:val="20"/>
              </w:numPr>
              <w:spacing w:after="0" w:line="240" w:lineRule="auto"/>
              <w:ind w:left="371" w:hanging="142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iCs/>
                <w:sz w:val="18"/>
                <w:szCs w:val="18"/>
              </w:rPr>
              <w:t>Други програми и инициативи, по които Република България е страна-партньор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6CE99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B71F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FDB3" w14:textId="77777777" w:rsidR="006959D9" w:rsidRPr="00603165" w:rsidRDefault="000277A5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1 518 688</w:t>
            </w:r>
          </w:p>
        </w:tc>
      </w:tr>
      <w:tr w:rsidR="006D6832" w:rsidRPr="00FD4773" w14:paraId="71DB9C32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CF80A" w14:textId="77777777" w:rsidR="006959D9" w:rsidRPr="00FD4773" w:rsidRDefault="006959D9" w:rsidP="006959D9">
            <w:pPr>
              <w:numPr>
                <w:ilvl w:val="0"/>
                <w:numId w:val="20"/>
              </w:numPr>
              <w:spacing w:after="0" w:line="240" w:lineRule="auto"/>
              <w:ind w:left="371" w:hanging="142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iCs/>
                <w:sz w:val="18"/>
                <w:szCs w:val="18"/>
              </w:rPr>
              <w:t>Други програми и други донори по бюджета на ПРБ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77D7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655A3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02296" w14:textId="77777777" w:rsidR="006959D9" w:rsidRPr="00603165" w:rsidRDefault="006959D9" w:rsidP="00695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D6832" w:rsidRPr="00FD4773" w14:paraId="3BDD8657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23DA" w14:textId="77777777" w:rsidR="006959D9" w:rsidRPr="00FD4773" w:rsidRDefault="006959D9" w:rsidP="006959D9">
            <w:pPr>
              <w:numPr>
                <w:ilvl w:val="0"/>
                <w:numId w:val="20"/>
              </w:numPr>
              <w:spacing w:after="0" w:line="240" w:lineRule="auto"/>
              <w:ind w:left="371" w:hanging="142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iCs/>
                <w:sz w:val="18"/>
                <w:szCs w:val="18"/>
              </w:rPr>
              <w:t>Други бюджетни организации, включени в консолидираната фискална програма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01512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53A31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3DCC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6832" w:rsidRPr="00FD4773" w14:paraId="4D265737" w14:textId="77777777" w:rsidTr="001B602C">
        <w:trPr>
          <w:trHeight w:val="255"/>
        </w:trPr>
        <w:tc>
          <w:tcPr>
            <w:tcW w:w="3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7792B" w14:textId="77777777" w:rsidR="006959D9" w:rsidRPr="00FD4773" w:rsidRDefault="006959D9" w:rsidP="006959D9">
            <w:pPr>
              <w:numPr>
                <w:ilvl w:val="0"/>
                <w:numId w:val="20"/>
              </w:numPr>
              <w:spacing w:after="0" w:line="240" w:lineRule="auto"/>
              <w:ind w:left="371" w:hanging="142"/>
              <w:rPr>
                <w:rFonts w:ascii="Times New Roman" w:hAnsi="Times New Roman"/>
                <w:iCs/>
                <w:sz w:val="18"/>
                <w:szCs w:val="18"/>
              </w:rPr>
            </w:pPr>
            <w:r w:rsidRPr="00FD4773">
              <w:rPr>
                <w:rFonts w:ascii="Times New Roman" w:hAnsi="Times New Roman"/>
                <w:iCs/>
                <w:sz w:val="18"/>
                <w:szCs w:val="18"/>
              </w:rPr>
              <w:t>Други, в т.ч. предоставени трансфери за други бюджети за сметка на планирани разходи по бюджета на ПРБ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03DFD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E4CF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4A121" w14:textId="77777777" w:rsidR="006959D9" w:rsidRPr="00FD4773" w:rsidRDefault="006959D9" w:rsidP="006959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2ECA5EE" w14:textId="28D3A1B4" w:rsidR="006959D9" w:rsidRPr="007A4677" w:rsidRDefault="006959D9" w:rsidP="006031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A68A34" w14:textId="77777777" w:rsidR="007A4677" w:rsidRPr="007A4677" w:rsidRDefault="007A4677" w:rsidP="006031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10D891" w14:textId="77777777" w:rsidR="00603165" w:rsidRPr="00603165" w:rsidRDefault="00603165" w:rsidP="0060316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50E6D3" w14:textId="77777777" w:rsidR="007A4677" w:rsidRDefault="007A4677" w:rsidP="007A4677">
      <w:pPr>
        <w:pStyle w:val="Heading1"/>
        <w:spacing w:before="120" w:after="120"/>
        <w:ind w:right="-23"/>
        <w:rPr>
          <w:rFonts w:eastAsiaTheme="minorHAnsi" w:cstheme="minorBidi"/>
          <w:bCs w:val="0"/>
          <w:highlight w:val="yellow"/>
          <w:lang w:val="bg-BG"/>
        </w:rPr>
      </w:pPr>
    </w:p>
    <w:p w14:paraId="0EB416AE" w14:textId="77777777" w:rsidR="005529CD" w:rsidRPr="005529CD" w:rsidRDefault="005529CD" w:rsidP="005529CD">
      <w:pPr>
        <w:keepNext/>
        <w:spacing w:line="240" w:lineRule="auto"/>
        <w:rPr>
          <w:rFonts w:ascii="Times New Roman" w:hAnsi="Times New Roman"/>
          <w:b/>
          <w:u w:val="single"/>
        </w:rPr>
      </w:pPr>
      <w:r w:rsidRPr="005A3173">
        <w:rPr>
          <w:rFonts w:ascii="Times New Roman" w:hAnsi="Times New Roman"/>
          <w:b/>
        </w:rPr>
        <w:t xml:space="preserve">Приложение № 4 – </w:t>
      </w:r>
      <w:r w:rsidRPr="005A3173">
        <w:rPr>
          <w:rFonts w:ascii="Times New Roman" w:hAnsi="Times New Roman"/>
        </w:rPr>
        <w:t>Преглед на настъпилите през отчетния период промени на показателите по бюджета</w:t>
      </w: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276"/>
        <w:gridCol w:w="1275"/>
        <w:gridCol w:w="1843"/>
        <w:gridCol w:w="1418"/>
        <w:gridCol w:w="1842"/>
      </w:tblGrid>
      <w:tr w:rsidR="005529CD" w:rsidRPr="006C56B0" w14:paraId="24ED0E00" w14:textId="77777777" w:rsidTr="00FE512F">
        <w:tc>
          <w:tcPr>
            <w:tcW w:w="534" w:type="dxa"/>
            <w:shd w:val="clear" w:color="auto" w:fill="D9D9D9"/>
            <w:vAlign w:val="center"/>
          </w:tcPr>
          <w:p w14:paraId="2DD6C583" w14:textId="77777777" w:rsidR="005529CD" w:rsidRPr="006C56B0" w:rsidRDefault="005529CD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№ по ред</w:t>
            </w:r>
          </w:p>
        </w:tc>
        <w:tc>
          <w:tcPr>
            <w:tcW w:w="1451" w:type="dxa"/>
            <w:shd w:val="clear" w:color="auto" w:fill="D9D9D9"/>
            <w:vAlign w:val="center"/>
          </w:tcPr>
          <w:p w14:paraId="23640430" w14:textId="77777777" w:rsidR="005529CD" w:rsidRPr="006C56B0" w:rsidRDefault="005529CD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Наименование на акта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F0177DC" w14:textId="77777777" w:rsidR="005529CD" w:rsidRPr="006C56B0" w:rsidRDefault="005529CD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Нормативно основание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6600546" w14:textId="77777777" w:rsidR="005529CD" w:rsidRPr="006C56B0" w:rsidRDefault="005529CD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Мотиви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CB6F372" w14:textId="77777777" w:rsidR="005529CD" w:rsidRPr="006C56B0" w:rsidRDefault="005529CD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Наименование на бюджетните програми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01A62BEB" w14:textId="77777777" w:rsidR="005529CD" w:rsidRPr="006C56B0" w:rsidRDefault="005529CD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Ефект върху бюджета (увеличение / намаление на разходите по програми)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EEF7F21" w14:textId="77777777" w:rsidR="005529CD" w:rsidRPr="006C56B0" w:rsidRDefault="005529CD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Влияние върху показателите за изпълнение</w:t>
            </w:r>
          </w:p>
        </w:tc>
      </w:tr>
      <w:tr w:rsidR="005529CD" w:rsidRPr="006C56B0" w14:paraId="25DE06C7" w14:textId="77777777" w:rsidTr="001B602C">
        <w:trPr>
          <w:trHeight w:val="1227"/>
        </w:trPr>
        <w:tc>
          <w:tcPr>
            <w:tcW w:w="534" w:type="dxa"/>
          </w:tcPr>
          <w:p w14:paraId="353EE25A" w14:textId="77777777" w:rsidR="005529CD" w:rsidRPr="006C56B0" w:rsidRDefault="005529CD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51" w:type="dxa"/>
          </w:tcPr>
          <w:p w14:paraId="1AD6CD19" w14:textId="77777777" w:rsidR="001B602C" w:rsidRDefault="001B602C" w:rsidP="001B60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24D67FC" w14:textId="77777777" w:rsidR="001B602C" w:rsidRDefault="001B602C" w:rsidP="001B60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00FC8DE" w14:textId="77777777" w:rsidR="001B602C" w:rsidRDefault="001B602C" w:rsidP="001B602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0458DBE" w14:textId="364494DE" w:rsidR="005529CD" w:rsidRPr="001B602C" w:rsidRDefault="001B602C" w:rsidP="001B602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56B0">
              <w:rPr>
                <w:rFonts w:ascii="Times New Roman" w:hAnsi="Times New Roman"/>
                <w:sz w:val="16"/>
                <w:szCs w:val="16"/>
              </w:rPr>
              <w:t>(ПМС/акт на министъра на финансите/акт на ПРБ)</w:t>
            </w:r>
          </w:p>
        </w:tc>
        <w:tc>
          <w:tcPr>
            <w:tcW w:w="1276" w:type="dxa"/>
          </w:tcPr>
          <w:p w14:paraId="76BDB038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08CE798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0557039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752F20C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637235D" w14:textId="153758B6" w:rsidR="005529CD" w:rsidRPr="006C56B0" w:rsidRDefault="005529CD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56B0">
              <w:rPr>
                <w:rFonts w:ascii="Times New Roman" w:hAnsi="Times New Roman"/>
                <w:sz w:val="16"/>
                <w:szCs w:val="16"/>
              </w:rPr>
              <w:t xml:space="preserve">(Чл. 109, 110, 112, 113 от ЗПФ), </w:t>
            </w:r>
          </w:p>
        </w:tc>
        <w:tc>
          <w:tcPr>
            <w:tcW w:w="1275" w:type="dxa"/>
          </w:tcPr>
          <w:p w14:paraId="5428D840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3B14121A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7C547E4C" w14:textId="6F5C1810" w:rsidR="005529CD" w:rsidRPr="006C56B0" w:rsidRDefault="005529CD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56B0">
              <w:rPr>
                <w:rFonts w:ascii="Times New Roman" w:hAnsi="Times New Roman"/>
                <w:sz w:val="16"/>
                <w:szCs w:val="16"/>
              </w:rPr>
              <w:t>(Дават се кратки аргументи за извършените промени)</w:t>
            </w:r>
          </w:p>
        </w:tc>
        <w:tc>
          <w:tcPr>
            <w:tcW w:w="1843" w:type="dxa"/>
          </w:tcPr>
          <w:p w14:paraId="05F6A31E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507E2FCE" w14:textId="7AAACFE6" w:rsidR="005529CD" w:rsidRPr="006C56B0" w:rsidRDefault="005529CD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56B0">
              <w:rPr>
                <w:rFonts w:ascii="Times New Roman" w:hAnsi="Times New Roman"/>
                <w:sz w:val="16"/>
                <w:szCs w:val="16"/>
              </w:rPr>
              <w:t>(Бюджетни програми, които засяга актът; новосъздадени администрирани разходни параграфи - наименование и сума)</w:t>
            </w:r>
          </w:p>
        </w:tc>
        <w:tc>
          <w:tcPr>
            <w:tcW w:w="1418" w:type="dxa"/>
          </w:tcPr>
          <w:p w14:paraId="7C360E22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057A6C29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13FCD7F7" w14:textId="09651244" w:rsidR="005529CD" w:rsidRPr="006C56B0" w:rsidRDefault="005529CD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56B0">
              <w:rPr>
                <w:rFonts w:ascii="Times New Roman" w:hAnsi="Times New Roman"/>
                <w:sz w:val="16"/>
                <w:szCs w:val="16"/>
              </w:rPr>
              <w:t>(Произтичащи от акта промени на показателите по бюджета, в лева (+/-)</w:t>
            </w:r>
          </w:p>
        </w:tc>
        <w:tc>
          <w:tcPr>
            <w:tcW w:w="1842" w:type="dxa"/>
          </w:tcPr>
          <w:p w14:paraId="4505B03D" w14:textId="77777777" w:rsidR="001B602C" w:rsidRDefault="001B602C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5F5E84F" w14:textId="70F368BB" w:rsidR="005529CD" w:rsidRPr="006C56B0" w:rsidRDefault="005529CD" w:rsidP="000F7D7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56B0">
              <w:rPr>
                <w:rFonts w:ascii="Times New Roman" w:hAnsi="Times New Roman"/>
                <w:sz w:val="16"/>
                <w:szCs w:val="16"/>
              </w:rPr>
              <w:t>(Произтичащо от акта въздействие върху целевите стойности на показателите за изпълнение, ако има такова)</w:t>
            </w:r>
          </w:p>
        </w:tc>
      </w:tr>
      <w:tr w:rsidR="00FE512F" w:rsidRPr="006C56B0" w14:paraId="4886BF8A" w14:textId="77777777" w:rsidTr="000F7D71">
        <w:trPr>
          <w:trHeight w:val="1061"/>
        </w:trPr>
        <w:tc>
          <w:tcPr>
            <w:tcW w:w="534" w:type="dxa"/>
            <w:vAlign w:val="bottom"/>
          </w:tcPr>
          <w:p w14:paraId="51B6BF3B" w14:textId="77777777" w:rsidR="00FE512F" w:rsidRPr="007A557F" w:rsidRDefault="007A557F" w:rsidP="00FE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1451" w:type="dxa"/>
            <w:vAlign w:val="bottom"/>
          </w:tcPr>
          <w:p w14:paraId="6AD32A73" w14:textId="77777777" w:rsidR="00FE512F" w:rsidRPr="007A557F" w:rsidRDefault="00FE512F" w:rsidP="007A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Писмо на МФ №04-</w:t>
            </w:r>
            <w:r w:rsidR="007A557F"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02-279</w:t>
            </w: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/</w:t>
            </w:r>
            <w:r w:rsidR="007A557F"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28,05,2025 г.</w:t>
            </w:r>
          </w:p>
        </w:tc>
        <w:tc>
          <w:tcPr>
            <w:tcW w:w="1276" w:type="dxa"/>
            <w:vAlign w:val="bottom"/>
          </w:tcPr>
          <w:p w14:paraId="42106CD2" w14:textId="77777777" w:rsidR="00FE512F" w:rsidRPr="007A557F" w:rsidRDefault="00FE512F" w:rsidP="007A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Чл. 110, ал 4 от ЗПФ</w:t>
            </w:r>
          </w:p>
        </w:tc>
        <w:tc>
          <w:tcPr>
            <w:tcW w:w="1275" w:type="dxa"/>
            <w:vAlign w:val="bottom"/>
          </w:tcPr>
          <w:p w14:paraId="0B2B95A0" w14:textId="77777777" w:rsidR="00FE512F" w:rsidRPr="007A557F" w:rsidRDefault="00FE512F" w:rsidP="00FE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Одобрени допълнителни разходи по бюджета на НСИ</w:t>
            </w:r>
          </w:p>
        </w:tc>
        <w:tc>
          <w:tcPr>
            <w:tcW w:w="1843" w:type="dxa"/>
            <w:vAlign w:val="bottom"/>
          </w:tcPr>
          <w:p w14:paraId="2217CCBB" w14:textId="77777777" w:rsidR="00FE512F" w:rsidRPr="007A557F" w:rsidRDefault="00FE512F" w:rsidP="00FE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Бюджетна програма "Национална статистическа програма "</w:t>
            </w:r>
          </w:p>
        </w:tc>
        <w:tc>
          <w:tcPr>
            <w:tcW w:w="1418" w:type="dxa"/>
            <w:vAlign w:val="bottom"/>
          </w:tcPr>
          <w:p w14:paraId="0615DEDB" w14:textId="77777777" w:rsidR="00FE512F" w:rsidRPr="007A557F" w:rsidRDefault="00FE512F" w:rsidP="007A557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Увеличение </w:t>
            </w:r>
            <w:r w:rsidR="007A557F"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95</w:t>
            </w: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</w:t>
            </w:r>
            <w:r w:rsidR="007A557F"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624</w:t>
            </w: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  лв.</w:t>
            </w:r>
          </w:p>
        </w:tc>
        <w:tc>
          <w:tcPr>
            <w:tcW w:w="1842" w:type="dxa"/>
            <w:vAlign w:val="bottom"/>
          </w:tcPr>
          <w:p w14:paraId="10131E86" w14:textId="77777777" w:rsidR="00FE512F" w:rsidRPr="007A557F" w:rsidRDefault="00FE512F" w:rsidP="00FE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</w:t>
            </w:r>
          </w:p>
        </w:tc>
      </w:tr>
      <w:tr w:rsidR="005A3173" w:rsidRPr="006C56B0" w14:paraId="6E344F52" w14:textId="77777777" w:rsidTr="000F7D71">
        <w:trPr>
          <w:trHeight w:val="1061"/>
        </w:trPr>
        <w:tc>
          <w:tcPr>
            <w:tcW w:w="534" w:type="dxa"/>
            <w:vAlign w:val="bottom"/>
          </w:tcPr>
          <w:p w14:paraId="746EE832" w14:textId="77777777" w:rsidR="005A3173" w:rsidRPr="00BF17A9" w:rsidRDefault="005A3173" w:rsidP="005A3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2</w:t>
            </w:r>
          </w:p>
        </w:tc>
        <w:tc>
          <w:tcPr>
            <w:tcW w:w="1451" w:type="dxa"/>
            <w:vAlign w:val="bottom"/>
          </w:tcPr>
          <w:p w14:paraId="5DCEC8EA" w14:textId="77777777" w:rsidR="005A3173" w:rsidRPr="005A3173" w:rsidRDefault="005A3173" w:rsidP="005A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Наше писмо до МФ №07-04-89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bg-BG"/>
              </w:rPr>
              <w:t>#1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/19.01.2026 г.</w:t>
            </w:r>
          </w:p>
        </w:tc>
        <w:tc>
          <w:tcPr>
            <w:tcW w:w="1276" w:type="dxa"/>
            <w:vAlign w:val="bottom"/>
          </w:tcPr>
          <w:p w14:paraId="60FE917F" w14:textId="77777777" w:rsidR="005A3173" w:rsidRPr="007A557F" w:rsidRDefault="005A3173" w:rsidP="005A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Чл. 11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</w:t>
            </w: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, ал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2</w:t>
            </w: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от ЗПФ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 xml:space="preserve"> и чл.79, ал.4 и чл. 80 от ЗДБРБ за 2025 г.</w:t>
            </w:r>
          </w:p>
        </w:tc>
        <w:tc>
          <w:tcPr>
            <w:tcW w:w="1275" w:type="dxa"/>
            <w:vAlign w:val="bottom"/>
          </w:tcPr>
          <w:p w14:paraId="2120A2D5" w14:textId="77777777" w:rsidR="005A3173" w:rsidRPr="007A557F" w:rsidRDefault="005A3173" w:rsidP="005A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Вътрешно компенсаторни промени</w:t>
            </w:r>
          </w:p>
        </w:tc>
        <w:tc>
          <w:tcPr>
            <w:tcW w:w="1843" w:type="dxa"/>
            <w:vAlign w:val="bottom"/>
          </w:tcPr>
          <w:p w14:paraId="7C139C38" w14:textId="77777777" w:rsidR="005A3173" w:rsidRPr="007A557F" w:rsidRDefault="005A3173" w:rsidP="005A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Бюджетна програма "Национална статистическа програма "</w:t>
            </w:r>
          </w:p>
        </w:tc>
        <w:tc>
          <w:tcPr>
            <w:tcW w:w="1418" w:type="dxa"/>
            <w:vAlign w:val="bottom"/>
          </w:tcPr>
          <w:p w14:paraId="175CFE31" w14:textId="77777777" w:rsidR="005A3173" w:rsidRPr="007A557F" w:rsidRDefault="005A3173" w:rsidP="005A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Увеличение на издръжка с 505 480 лв. ,намаление на персонал със същата сума.</w:t>
            </w:r>
          </w:p>
        </w:tc>
        <w:tc>
          <w:tcPr>
            <w:tcW w:w="1842" w:type="dxa"/>
            <w:vAlign w:val="bottom"/>
          </w:tcPr>
          <w:p w14:paraId="65905C5D" w14:textId="77777777" w:rsidR="005A3173" w:rsidRPr="007A557F" w:rsidRDefault="005A3173" w:rsidP="005A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7A557F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НЕ</w:t>
            </w:r>
          </w:p>
        </w:tc>
      </w:tr>
    </w:tbl>
    <w:p w14:paraId="67D40070" w14:textId="77777777" w:rsidR="005529CD" w:rsidRPr="00125144" w:rsidRDefault="005529CD" w:rsidP="003F31E3">
      <w:pPr>
        <w:pStyle w:val="Heading1"/>
        <w:spacing w:before="120" w:after="120"/>
        <w:ind w:right="-23" w:firstLine="708"/>
        <w:jc w:val="center"/>
        <w:rPr>
          <w:rFonts w:eastAsiaTheme="minorHAnsi" w:cstheme="minorBidi"/>
          <w:bCs w:val="0"/>
          <w:lang w:val="bg-BG"/>
        </w:rPr>
      </w:pPr>
    </w:p>
    <w:p w14:paraId="4B21A812" w14:textId="77777777" w:rsidR="005529CD" w:rsidRPr="00125144" w:rsidRDefault="005529CD" w:rsidP="003F31E3">
      <w:pPr>
        <w:pStyle w:val="Heading1"/>
        <w:spacing w:before="120" w:after="120"/>
        <w:ind w:right="-23" w:firstLine="708"/>
        <w:jc w:val="center"/>
        <w:rPr>
          <w:rFonts w:eastAsiaTheme="minorHAnsi" w:cstheme="minorBidi"/>
          <w:bCs w:val="0"/>
          <w:lang w:val="bg-BG"/>
        </w:rPr>
      </w:pPr>
    </w:p>
    <w:p w14:paraId="65399D25" w14:textId="77777777" w:rsidR="00F40B5D" w:rsidRPr="00125144" w:rsidRDefault="00F40B5D" w:rsidP="003F31E3">
      <w:pPr>
        <w:pStyle w:val="Heading1"/>
        <w:spacing w:before="120" w:after="120"/>
        <w:ind w:right="-23" w:firstLine="708"/>
        <w:jc w:val="center"/>
        <w:rPr>
          <w:rFonts w:eastAsiaTheme="minorHAnsi" w:cstheme="minorBidi"/>
          <w:bCs w:val="0"/>
          <w:lang w:val="bg-BG"/>
        </w:rPr>
      </w:pPr>
    </w:p>
    <w:p w14:paraId="6E4E6FC7" w14:textId="77777777" w:rsidR="00F40B5D" w:rsidRPr="00125144" w:rsidRDefault="00F40B5D" w:rsidP="003F31E3">
      <w:pPr>
        <w:pStyle w:val="Heading1"/>
        <w:spacing w:before="120" w:after="120"/>
        <w:ind w:right="-23" w:firstLine="708"/>
        <w:jc w:val="center"/>
        <w:rPr>
          <w:rFonts w:eastAsiaTheme="minorHAnsi" w:cstheme="minorBidi"/>
          <w:bCs w:val="0"/>
          <w:lang w:val="bg-BG"/>
        </w:rPr>
      </w:pPr>
    </w:p>
    <w:p w14:paraId="4B31A6CD" w14:textId="77777777" w:rsidR="005529CD" w:rsidRPr="002B1559" w:rsidRDefault="005529CD" w:rsidP="003F31E3">
      <w:pPr>
        <w:pStyle w:val="Heading1"/>
        <w:spacing w:before="120" w:after="120"/>
        <w:ind w:right="-23" w:firstLine="708"/>
        <w:jc w:val="center"/>
        <w:rPr>
          <w:rFonts w:eastAsiaTheme="minorHAnsi" w:cstheme="minorBidi"/>
          <w:bCs w:val="0"/>
          <w:lang w:val="bg-BG"/>
        </w:rPr>
      </w:pPr>
    </w:p>
    <w:p w14:paraId="4AD8F6A4" w14:textId="77777777" w:rsidR="00217853" w:rsidRPr="002B1559" w:rsidRDefault="00447307" w:rsidP="003F31E3">
      <w:pPr>
        <w:pStyle w:val="Heading1"/>
        <w:spacing w:before="120" w:after="120"/>
        <w:ind w:right="-23" w:firstLine="708"/>
        <w:jc w:val="center"/>
        <w:rPr>
          <w:rFonts w:eastAsiaTheme="minorHAnsi" w:cstheme="minorBidi"/>
          <w:bCs w:val="0"/>
          <w:lang w:val="bg-BG"/>
        </w:rPr>
      </w:pPr>
      <w:r w:rsidRPr="002B1559">
        <w:rPr>
          <w:rFonts w:eastAsiaTheme="minorHAnsi" w:cstheme="minorBidi"/>
          <w:bCs w:val="0"/>
          <w:lang w:val="bg-BG"/>
        </w:rPr>
        <w:t>Отчет за 202</w:t>
      </w:r>
      <w:r w:rsidR="00382473" w:rsidRPr="002B1559">
        <w:rPr>
          <w:rFonts w:eastAsiaTheme="minorHAnsi" w:cstheme="minorBidi"/>
          <w:bCs w:val="0"/>
          <w:lang w:val="bg-BG"/>
        </w:rPr>
        <w:t>5</w:t>
      </w:r>
      <w:r w:rsidRPr="002B1559">
        <w:rPr>
          <w:rFonts w:eastAsiaTheme="minorHAnsi" w:cstheme="minorBidi"/>
          <w:bCs w:val="0"/>
          <w:lang w:val="bg-BG"/>
        </w:rPr>
        <w:t xml:space="preserve"> г. по бюджетна </w:t>
      </w:r>
      <w:r w:rsidR="00CC0AB2" w:rsidRPr="002B1559">
        <w:rPr>
          <w:rFonts w:eastAsiaTheme="minorHAnsi" w:cstheme="minorBidi"/>
          <w:bCs w:val="0"/>
          <w:lang w:val="bg-BG"/>
        </w:rPr>
        <w:t>програма</w:t>
      </w:r>
    </w:p>
    <w:p w14:paraId="007AC833" w14:textId="77777777" w:rsidR="00447307" w:rsidRPr="002B1559" w:rsidRDefault="00447307" w:rsidP="003F31E3">
      <w:pPr>
        <w:pStyle w:val="Heading1"/>
        <w:spacing w:before="120" w:after="120"/>
        <w:ind w:right="-23" w:firstLine="708"/>
        <w:jc w:val="center"/>
        <w:rPr>
          <w:rFonts w:eastAsiaTheme="minorHAnsi" w:cstheme="minorBidi"/>
          <w:bCs w:val="0"/>
          <w:lang w:val="bg-BG"/>
        </w:rPr>
      </w:pPr>
      <w:r w:rsidRPr="002B1559">
        <w:rPr>
          <w:rFonts w:eastAsiaTheme="minorHAnsi" w:cstheme="minorBidi"/>
          <w:bCs w:val="0"/>
          <w:lang w:val="bg-BG"/>
        </w:rPr>
        <w:t xml:space="preserve"> „Национална статистическа програма“</w:t>
      </w:r>
    </w:p>
    <w:p w14:paraId="015EFF1C" w14:textId="77777777" w:rsidR="00447307" w:rsidRPr="002B1559" w:rsidRDefault="00447307" w:rsidP="00447307">
      <w:pPr>
        <w:pStyle w:val="Heading1"/>
        <w:spacing w:before="120" w:after="240"/>
        <w:ind w:right="-23" w:firstLine="567"/>
        <w:jc w:val="center"/>
        <w:rPr>
          <w:lang w:val="bg-BG"/>
        </w:rPr>
      </w:pPr>
    </w:p>
    <w:p w14:paraId="346D7997" w14:textId="77777777" w:rsidR="001E1141" w:rsidRPr="002B1559" w:rsidRDefault="001E1141" w:rsidP="001E11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Националната статистическа програма за 202</w:t>
      </w:r>
      <w:r w:rsidR="005D274D" w:rsidRPr="002B1559">
        <w:rPr>
          <w:rFonts w:ascii="Times New Roman" w:hAnsi="Times New Roman" w:cs="Times New Roman"/>
          <w:sz w:val="24"/>
          <w:szCs w:val="24"/>
        </w:rPr>
        <w:t>5</w:t>
      </w:r>
      <w:r w:rsidRPr="002B1559">
        <w:rPr>
          <w:rFonts w:ascii="Times New Roman" w:hAnsi="Times New Roman" w:cs="Times New Roman"/>
          <w:sz w:val="24"/>
          <w:szCs w:val="24"/>
        </w:rPr>
        <w:t xml:space="preserve"> година е разработена в съответствие с Глава трета от Закона за статистиката. Програмата включва плана за дейността на Националния статистически институт (НСИ) и плановете за статистическите дейности на органите на статистиката.</w:t>
      </w:r>
    </w:p>
    <w:p w14:paraId="66DE5F78" w14:textId="77777777" w:rsidR="001E1141" w:rsidRPr="002B1559" w:rsidRDefault="001E1141" w:rsidP="001E11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 xml:space="preserve">Развитието на методологията, производството и разпространението на статистическа информация в Националната статистическа система на </w:t>
      </w:r>
      <w:r w:rsidR="005D274D" w:rsidRPr="002B1559">
        <w:rPr>
          <w:rFonts w:ascii="Times New Roman" w:hAnsi="Times New Roman" w:cs="Times New Roman"/>
          <w:sz w:val="24"/>
          <w:szCs w:val="24"/>
        </w:rPr>
        <w:t>Република</w:t>
      </w:r>
      <w:r w:rsidRPr="002B1559">
        <w:rPr>
          <w:rFonts w:ascii="Times New Roman" w:hAnsi="Times New Roman" w:cs="Times New Roman"/>
          <w:sz w:val="24"/>
          <w:szCs w:val="24"/>
        </w:rPr>
        <w:t xml:space="preserve"> България се осъществява на базата на приети единни европейски стандарти и хармонизирани методи. Включените нови изследвания и дейности в Националната статистическа програма за 202</w:t>
      </w:r>
      <w:r w:rsidR="005D274D" w:rsidRPr="002B1559">
        <w:rPr>
          <w:rFonts w:ascii="Times New Roman" w:hAnsi="Times New Roman" w:cs="Times New Roman"/>
          <w:sz w:val="24"/>
          <w:szCs w:val="24"/>
        </w:rPr>
        <w:t>5</w:t>
      </w:r>
      <w:r w:rsidRPr="002B1559">
        <w:rPr>
          <w:rFonts w:ascii="Times New Roman" w:hAnsi="Times New Roman" w:cs="Times New Roman"/>
          <w:sz w:val="24"/>
          <w:szCs w:val="24"/>
        </w:rPr>
        <w:t xml:space="preserve"> г. са </w:t>
      </w:r>
      <w:r w:rsidR="005D274D" w:rsidRPr="002B1559">
        <w:rPr>
          <w:rFonts w:ascii="Times New Roman" w:hAnsi="Times New Roman" w:cs="Times New Roman"/>
          <w:sz w:val="24"/>
          <w:szCs w:val="24"/>
        </w:rPr>
        <w:t xml:space="preserve">планирани, така че да отговарят на потребностите на всички заинтересовани страни, </w:t>
      </w:r>
      <w:r w:rsidRPr="002B1559">
        <w:rPr>
          <w:rFonts w:ascii="Times New Roman" w:hAnsi="Times New Roman" w:cs="Times New Roman"/>
          <w:sz w:val="24"/>
          <w:szCs w:val="24"/>
        </w:rPr>
        <w:t>и</w:t>
      </w:r>
      <w:r w:rsidR="005D274D" w:rsidRPr="002B1559">
        <w:rPr>
          <w:rFonts w:ascii="Times New Roman" w:hAnsi="Times New Roman" w:cs="Times New Roman"/>
          <w:sz w:val="24"/>
          <w:szCs w:val="24"/>
        </w:rPr>
        <w:t xml:space="preserve"> са свързани</w:t>
      </w:r>
      <w:r w:rsidRPr="002B1559">
        <w:rPr>
          <w:rFonts w:ascii="Times New Roman" w:hAnsi="Times New Roman" w:cs="Times New Roman"/>
          <w:sz w:val="24"/>
          <w:szCs w:val="24"/>
        </w:rPr>
        <w:t xml:space="preserve"> с приоритетите</w:t>
      </w:r>
      <w:r w:rsidR="00020497" w:rsidRPr="002B1559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B1559">
        <w:rPr>
          <w:rFonts w:ascii="Times New Roman" w:hAnsi="Times New Roman" w:cs="Times New Roman"/>
          <w:sz w:val="24"/>
          <w:szCs w:val="24"/>
        </w:rPr>
        <w:t xml:space="preserve"> заложени в Годишната европейска статистическа програма за 202</w:t>
      </w:r>
      <w:r w:rsidR="005D274D" w:rsidRPr="002B1559">
        <w:rPr>
          <w:rFonts w:ascii="Times New Roman" w:hAnsi="Times New Roman" w:cs="Times New Roman"/>
          <w:sz w:val="24"/>
          <w:szCs w:val="24"/>
        </w:rPr>
        <w:t>5</w:t>
      </w:r>
      <w:r w:rsidRPr="002B1559">
        <w:rPr>
          <w:rFonts w:ascii="Times New Roman" w:hAnsi="Times New Roman" w:cs="Times New Roman"/>
          <w:sz w:val="24"/>
          <w:szCs w:val="24"/>
        </w:rPr>
        <w:t xml:space="preserve"> г. Новите изследвания и дейности са:</w:t>
      </w:r>
    </w:p>
    <w:p w14:paraId="7C016654" w14:textId="77777777" w:rsidR="00027099" w:rsidRPr="002B1559" w:rsidRDefault="00027099" w:rsidP="006036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- Данни относно граждани на трети страни съгласно Директива (ЕС) №1883/2021 относно условията за влизане и пребиваване на гражданите на трети държави за целите на висококвалифицирана трудова заетост, която отменя Директива (ЕС) №50/2009 и съгласно Регламент (ЕС) 2020/851 за изменение на Регламент (ЕО) № 862/2007, чл. 4 от Регламент 862/2007;</w:t>
      </w:r>
    </w:p>
    <w:p w14:paraId="5CBFA40B" w14:textId="77777777" w:rsidR="00027099" w:rsidRPr="002B1559" w:rsidRDefault="00027099" w:rsidP="006036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- Професионално обучение след средно образование в професионалните колежи;</w:t>
      </w:r>
    </w:p>
    <w:p w14:paraId="3F0519D4" w14:textId="77777777" w:rsidR="00027099" w:rsidRPr="002B1559" w:rsidRDefault="00027099" w:rsidP="006036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- Наблюдение на потреблението и финансите на домакинствата;</w:t>
      </w:r>
    </w:p>
    <w:p w14:paraId="41BCC011" w14:textId="77777777" w:rsidR="00027099" w:rsidRPr="002B1559" w:rsidRDefault="00027099" w:rsidP="006036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- Потребление на енергия от центрове за данни;</w:t>
      </w:r>
    </w:p>
    <w:p w14:paraId="01213528" w14:textId="77777777" w:rsidR="00027099" w:rsidRPr="002B1559" w:rsidRDefault="00027099" w:rsidP="006036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B1559">
        <w:rPr>
          <w:rFonts w:ascii="Times New Roman" w:hAnsi="Times New Roman" w:cs="Times New Roman"/>
          <w:sz w:val="24"/>
          <w:szCs w:val="24"/>
        </w:rPr>
        <w:t>Бързорастящи</w:t>
      </w:r>
      <w:proofErr w:type="spellEnd"/>
      <w:r w:rsidRPr="002B1559">
        <w:rPr>
          <w:rFonts w:ascii="Times New Roman" w:hAnsi="Times New Roman" w:cs="Times New Roman"/>
          <w:sz w:val="24"/>
          <w:szCs w:val="24"/>
        </w:rPr>
        <w:t xml:space="preserve"> предприятия, според броя на наетите лица;</w:t>
      </w:r>
    </w:p>
    <w:p w14:paraId="7200DF00" w14:textId="77777777" w:rsidR="00027099" w:rsidRPr="002B1559" w:rsidRDefault="00027099" w:rsidP="006036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- Външна търговия с трети страни по валута на фактуриране;</w:t>
      </w:r>
    </w:p>
    <w:p w14:paraId="2677E7EE" w14:textId="77777777" w:rsidR="00027099" w:rsidRPr="002B1559" w:rsidRDefault="00027099" w:rsidP="006036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- Обезпечаване с данни на показатели от Националния списък с показатели за наблюдение и отчитане по постигане напредъка по Целите за устойчиво развитие на Организацията на обединените нации (ЦУР на ООН);</w:t>
      </w:r>
    </w:p>
    <w:p w14:paraId="61096E40" w14:textId="77777777" w:rsidR="00027099" w:rsidRPr="002B1559" w:rsidRDefault="00027099" w:rsidP="006036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- Равнопоставеност между жените и мъжете в управлението.</w:t>
      </w:r>
    </w:p>
    <w:p w14:paraId="41D77075" w14:textId="77777777" w:rsidR="001E1141" w:rsidRPr="002B1559" w:rsidRDefault="001E1141" w:rsidP="001E11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>Резултатите от статистическите изследвания, включени в Националната статистическа програма, са достъпни за всички потребители. Сроковете, формата и видът, в които се предоставят резултатите, са съобразени с изискванията на Евростат</w:t>
      </w:r>
      <w:r w:rsidR="005D274D" w:rsidRPr="002B1559">
        <w:rPr>
          <w:rFonts w:ascii="Times New Roman" w:hAnsi="Times New Roman" w:cs="Times New Roman"/>
          <w:sz w:val="24"/>
          <w:szCs w:val="24"/>
        </w:rPr>
        <w:t xml:space="preserve"> и са хармонизирани с резултатите на другите държави членки</w:t>
      </w:r>
      <w:r w:rsidRPr="002B1559">
        <w:rPr>
          <w:rFonts w:ascii="Times New Roman" w:hAnsi="Times New Roman" w:cs="Times New Roman"/>
          <w:sz w:val="24"/>
          <w:szCs w:val="24"/>
        </w:rPr>
        <w:t>.</w:t>
      </w:r>
    </w:p>
    <w:p w14:paraId="0101FEDE" w14:textId="77777777" w:rsidR="001E1141" w:rsidRPr="002B1559" w:rsidRDefault="001E1141" w:rsidP="001E11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 xml:space="preserve">Във връзка с оптимизирането на разходите и намаляване </w:t>
      </w:r>
      <w:r w:rsidR="005D274D" w:rsidRPr="002B1559">
        <w:rPr>
          <w:rFonts w:ascii="Times New Roman" w:hAnsi="Times New Roman" w:cs="Times New Roman"/>
          <w:sz w:val="24"/>
          <w:szCs w:val="24"/>
        </w:rPr>
        <w:t xml:space="preserve">на </w:t>
      </w:r>
      <w:r w:rsidRPr="002B1559">
        <w:rPr>
          <w:rFonts w:ascii="Times New Roman" w:hAnsi="Times New Roman" w:cs="Times New Roman"/>
          <w:sz w:val="24"/>
          <w:szCs w:val="24"/>
        </w:rPr>
        <w:t>натовар</w:t>
      </w:r>
      <w:r w:rsidR="005D274D" w:rsidRPr="002B1559">
        <w:rPr>
          <w:rFonts w:ascii="Times New Roman" w:hAnsi="Times New Roman" w:cs="Times New Roman"/>
          <w:sz w:val="24"/>
          <w:szCs w:val="24"/>
        </w:rPr>
        <w:t>еността</w:t>
      </w:r>
      <w:r w:rsidRPr="002B1559">
        <w:rPr>
          <w:rFonts w:ascii="Times New Roman" w:hAnsi="Times New Roman" w:cs="Times New Roman"/>
          <w:sz w:val="24"/>
          <w:szCs w:val="24"/>
        </w:rPr>
        <w:t xml:space="preserve"> на респондентите са направени промени в организацията на</w:t>
      </w:r>
      <w:r w:rsidR="005D274D" w:rsidRPr="002B1559">
        <w:rPr>
          <w:rFonts w:ascii="Times New Roman" w:hAnsi="Times New Roman" w:cs="Times New Roman"/>
          <w:sz w:val="24"/>
          <w:szCs w:val="24"/>
        </w:rPr>
        <w:t xml:space="preserve"> провеждането на някои изследвания, както и </w:t>
      </w:r>
      <w:r w:rsidRPr="002B1559">
        <w:rPr>
          <w:rFonts w:ascii="Times New Roman" w:hAnsi="Times New Roman" w:cs="Times New Roman"/>
          <w:sz w:val="24"/>
          <w:szCs w:val="24"/>
        </w:rPr>
        <w:t xml:space="preserve">съкращаване на сроковете за </w:t>
      </w:r>
      <w:r w:rsidR="005D274D" w:rsidRPr="002B1559">
        <w:rPr>
          <w:rFonts w:ascii="Times New Roman" w:hAnsi="Times New Roman" w:cs="Times New Roman"/>
          <w:sz w:val="24"/>
          <w:szCs w:val="24"/>
        </w:rPr>
        <w:t>разпространението</w:t>
      </w:r>
      <w:r w:rsidRPr="002B1559">
        <w:rPr>
          <w:rFonts w:ascii="Times New Roman" w:hAnsi="Times New Roman" w:cs="Times New Roman"/>
          <w:sz w:val="24"/>
          <w:szCs w:val="24"/>
        </w:rPr>
        <w:t xml:space="preserve"> на статистическата информация.</w:t>
      </w:r>
    </w:p>
    <w:p w14:paraId="449B2D44" w14:textId="0D556ACA" w:rsidR="00447307" w:rsidRPr="002B1559" w:rsidRDefault="00447307" w:rsidP="002B1559">
      <w:pPr>
        <w:keepNext/>
        <w:spacing w:before="240"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1559">
        <w:rPr>
          <w:rFonts w:ascii="Times New Roman" w:hAnsi="Times New Roman"/>
          <w:b/>
          <w:sz w:val="24"/>
          <w:szCs w:val="24"/>
        </w:rPr>
        <w:lastRenderedPageBreak/>
        <w:t>Пр</w:t>
      </w:r>
      <w:r w:rsidR="005D274D" w:rsidRPr="002B1559">
        <w:rPr>
          <w:rFonts w:ascii="Times New Roman" w:hAnsi="Times New Roman"/>
          <w:b/>
          <w:sz w:val="24"/>
          <w:szCs w:val="24"/>
        </w:rPr>
        <w:t xml:space="preserve">едизвикателства </w:t>
      </w:r>
      <w:r w:rsidRPr="002B1559">
        <w:rPr>
          <w:rFonts w:ascii="Times New Roman" w:hAnsi="Times New Roman"/>
          <w:b/>
          <w:sz w:val="24"/>
          <w:szCs w:val="24"/>
        </w:rPr>
        <w:t>и решения</w:t>
      </w:r>
    </w:p>
    <w:p w14:paraId="10246066" w14:textId="77777777" w:rsidR="00953652" w:rsidRPr="002B1559" w:rsidRDefault="00953652" w:rsidP="003F0CBA">
      <w:pPr>
        <w:pStyle w:val="ListParagraph"/>
        <w:numPr>
          <w:ilvl w:val="0"/>
          <w:numId w:val="15"/>
        </w:numPr>
        <w:tabs>
          <w:tab w:val="clear" w:pos="720"/>
        </w:tabs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 xml:space="preserve">НСИ </w:t>
      </w:r>
      <w:r w:rsidR="005D274D" w:rsidRPr="002B1559">
        <w:rPr>
          <w:rFonts w:ascii="Times New Roman" w:hAnsi="Times New Roman" w:cs="Times New Roman"/>
          <w:sz w:val="24"/>
          <w:szCs w:val="24"/>
        </w:rPr>
        <w:t xml:space="preserve">продължава </w:t>
      </w:r>
      <w:r w:rsidR="001A6266" w:rsidRPr="002B1559">
        <w:rPr>
          <w:rFonts w:ascii="Times New Roman" w:hAnsi="Times New Roman" w:cs="Times New Roman"/>
          <w:sz w:val="24"/>
          <w:szCs w:val="24"/>
        </w:rPr>
        <w:t>работ</w:t>
      </w:r>
      <w:r w:rsidR="005D274D" w:rsidRPr="002B1559">
        <w:rPr>
          <w:rFonts w:ascii="Times New Roman" w:hAnsi="Times New Roman" w:cs="Times New Roman"/>
          <w:sz w:val="24"/>
          <w:szCs w:val="24"/>
        </w:rPr>
        <w:t xml:space="preserve">ата </w:t>
      </w:r>
      <w:r w:rsidR="003F0CBA" w:rsidRPr="002B1559">
        <w:rPr>
          <w:rFonts w:ascii="Times New Roman" w:hAnsi="Times New Roman" w:cs="Times New Roman"/>
          <w:sz w:val="24"/>
          <w:szCs w:val="24"/>
        </w:rPr>
        <w:t xml:space="preserve">по </w:t>
      </w:r>
      <w:r w:rsidR="001A6266" w:rsidRPr="002B1559">
        <w:rPr>
          <w:rFonts w:ascii="Times New Roman" w:hAnsi="Times New Roman" w:cs="Times New Roman"/>
          <w:sz w:val="24"/>
          <w:szCs w:val="24"/>
        </w:rPr>
        <w:t xml:space="preserve">изграждането на </w:t>
      </w:r>
      <w:r w:rsidR="003F0CBA" w:rsidRPr="002B1559">
        <w:rPr>
          <w:rFonts w:ascii="Times New Roman" w:hAnsi="Times New Roman" w:cs="Times New Roman"/>
          <w:sz w:val="24"/>
          <w:szCs w:val="24"/>
        </w:rPr>
        <w:t xml:space="preserve">няколко нови и усъвършенстването на съществуващите </w:t>
      </w:r>
      <w:r w:rsidR="00321A67" w:rsidRPr="002B1559">
        <w:rPr>
          <w:rFonts w:ascii="Times New Roman" w:hAnsi="Times New Roman" w:cs="Times New Roman"/>
          <w:sz w:val="24"/>
          <w:szCs w:val="24"/>
        </w:rPr>
        <w:t>информационни системи:</w:t>
      </w:r>
    </w:p>
    <w:p w14:paraId="5E92EE10" w14:textId="77777777" w:rsidR="004B4A69" w:rsidRPr="002B1559" w:rsidRDefault="00603636" w:rsidP="003F0CBA">
      <w:pPr>
        <w:pStyle w:val="ListParagraph"/>
        <w:numPr>
          <w:ilvl w:val="1"/>
          <w:numId w:val="15"/>
        </w:numPr>
        <w:tabs>
          <w:tab w:val="left" w:pos="851"/>
        </w:tabs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 xml:space="preserve">Беше изградена </w:t>
      </w:r>
      <w:r w:rsidR="00321A67" w:rsidRPr="002B1559">
        <w:rPr>
          <w:rFonts w:ascii="Times New Roman" w:hAnsi="Times New Roman" w:cs="Times New Roman"/>
          <w:sz w:val="24"/>
          <w:szCs w:val="24"/>
        </w:rPr>
        <w:t>ИС „Ката</w:t>
      </w:r>
      <w:r w:rsidR="006001D8" w:rsidRPr="002B1559">
        <w:rPr>
          <w:rFonts w:ascii="Times New Roman" w:hAnsi="Times New Roman" w:cs="Times New Roman"/>
          <w:sz w:val="24"/>
          <w:szCs w:val="24"/>
        </w:rPr>
        <w:t>лог на данни“</w:t>
      </w:r>
      <w:r w:rsidRPr="002B1559">
        <w:rPr>
          <w:rFonts w:ascii="Times New Roman" w:hAnsi="Times New Roman" w:cs="Times New Roman"/>
          <w:sz w:val="24"/>
          <w:szCs w:val="24"/>
        </w:rPr>
        <w:t xml:space="preserve">, която </w:t>
      </w:r>
      <w:r w:rsidR="00D71F08" w:rsidRPr="002B1559">
        <w:rPr>
          <w:rFonts w:ascii="Times New Roman" w:hAnsi="Times New Roman" w:cs="Times New Roman"/>
          <w:sz w:val="24"/>
          <w:szCs w:val="24"/>
        </w:rPr>
        <w:t>предл</w:t>
      </w:r>
      <w:r w:rsidRPr="002B1559">
        <w:rPr>
          <w:rFonts w:ascii="Times New Roman" w:hAnsi="Times New Roman" w:cs="Times New Roman"/>
          <w:sz w:val="24"/>
          <w:szCs w:val="24"/>
        </w:rPr>
        <w:t>ага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 н</w:t>
      </w:r>
      <w:r w:rsidR="00E92FE7" w:rsidRPr="002B1559">
        <w:rPr>
          <w:rFonts w:ascii="Times New Roman" w:hAnsi="Times New Roman" w:cs="Times New Roman"/>
          <w:sz w:val="24"/>
          <w:szCs w:val="24"/>
        </w:rPr>
        <w:t>ов и модерен подход към хармонизирано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, </w:t>
      </w:r>
      <w:r w:rsidR="00E92FE7" w:rsidRPr="002B1559">
        <w:rPr>
          <w:rFonts w:ascii="Times New Roman" w:hAnsi="Times New Roman" w:cs="Times New Roman"/>
          <w:sz w:val="24"/>
          <w:szCs w:val="24"/>
        </w:rPr>
        <w:t>стандартизир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ано и ефективно управление на </w:t>
      </w:r>
      <w:r w:rsidR="003F0CBA" w:rsidRPr="002B1559">
        <w:rPr>
          <w:rFonts w:ascii="Times New Roman" w:hAnsi="Times New Roman" w:cs="Times New Roman"/>
          <w:sz w:val="24"/>
          <w:szCs w:val="24"/>
        </w:rPr>
        <w:t xml:space="preserve">всички данни, които се събират и съхраняват </w:t>
      </w:r>
      <w:r w:rsidR="00D71F08" w:rsidRPr="002B1559">
        <w:rPr>
          <w:rFonts w:ascii="Times New Roman" w:hAnsi="Times New Roman" w:cs="Times New Roman"/>
          <w:sz w:val="24"/>
          <w:szCs w:val="24"/>
        </w:rPr>
        <w:t>в НСИ. Системата съдържа и</w:t>
      </w:r>
      <w:r w:rsidR="00E92FE7" w:rsidRPr="002B1559">
        <w:rPr>
          <w:rFonts w:ascii="Times New Roman" w:hAnsi="Times New Roman" w:cs="Times New Roman"/>
          <w:sz w:val="24"/>
          <w:szCs w:val="24"/>
        </w:rPr>
        <w:t>нформация за всички налични структурни и референтни метаданни в НСИ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 и позволява упражняването на с</w:t>
      </w:r>
      <w:r w:rsidR="00E92FE7" w:rsidRPr="002B1559">
        <w:rPr>
          <w:rFonts w:ascii="Times New Roman" w:hAnsi="Times New Roman" w:cs="Times New Roman"/>
          <w:sz w:val="24"/>
          <w:szCs w:val="24"/>
        </w:rPr>
        <w:t>триктен контрол върху достъпа до данни в рамките на НСИ (</w:t>
      </w:r>
      <w:r w:rsidR="003F0CBA" w:rsidRPr="002B1559">
        <w:rPr>
          <w:rFonts w:ascii="Times New Roman" w:hAnsi="Times New Roman" w:cs="Times New Roman"/>
          <w:sz w:val="24"/>
          <w:szCs w:val="24"/>
        </w:rPr>
        <w:t xml:space="preserve">т.нар. 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Data </w:t>
      </w:r>
      <w:r w:rsidR="00E92FE7" w:rsidRPr="002B1559">
        <w:rPr>
          <w:rFonts w:ascii="Times New Roman" w:hAnsi="Times New Roman" w:cs="Times New Roman"/>
          <w:sz w:val="24"/>
          <w:szCs w:val="24"/>
          <w:lang w:val="en-US"/>
        </w:rPr>
        <w:t>Governance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5C3C0D1" w14:textId="77777777" w:rsidR="00555A84" w:rsidRPr="002B1559" w:rsidRDefault="00603636" w:rsidP="003F0CBA">
      <w:pPr>
        <w:pStyle w:val="ListParagraph"/>
        <w:numPr>
          <w:ilvl w:val="1"/>
          <w:numId w:val="15"/>
        </w:numPr>
        <w:shd w:val="clear" w:color="auto" w:fill="FFFFFF"/>
        <w:tabs>
          <w:tab w:val="left" w:pos="851"/>
        </w:tabs>
        <w:spacing w:after="12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 xml:space="preserve">Подготовка на етап 2 от изграждането на </w:t>
      </w:r>
      <w:r w:rsidR="00D71F08" w:rsidRPr="002B1559">
        <w:rPr>
          <w:rFonts w:ascii="Times New Roman" w:hAnsi="Times New Roman" w:cs="Times New Roman"/>
          <w:sz w:val="24"/>
          <w:szCs w:val="24"/>
        </w:rPr>
        <w:t>И</w:t>
      </w:r>
      <w:r w:rsidRPr="002B1559">
        <w:rPr>
          <w:rFonts w:ascii="Times New Roman" w:hAnsi="Times New Roman" w:cs="Times New Roman"/>
          <w:sz w:val="24"/>
          <w:szCs w:val="24"/>
        </w:rPr>
        <w:t>С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 „Единен вход НСИ“ –</w:t>
      </w:r>
      <w:r w:rsidRPr="002B1559">
        <w:rPr>
          <w:rFonts w:ascii="Times New Roman" w:hAnsi="Times New Roman" w:cs="Times New Roman"/>
          <w:sz w:val="24"/>
          <w:szCs w:val="24"/>
        </w:rPr>
        <w:t xml:space="preserve"> </w:t>
      </w:r>
      <w:r w:rsidR="00D71F08" w:rsidRPr="002B1559">
        <w:rPr>
          <w:rFonts w:ascii="Times New Roman" w:hAnsi="Times New Roman" w:cs="Times New Roman"/>
          <w:sz w:val="24"/>
          <w:szCs w:val="24"/>
        </w:rPr>
        <w:t>за респонденти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 и анкетьори при работа със системите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 за въвеждане на отчети/анкети. Системата ще предоставя 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сигурен достъп до системите на база на </w:t>
      </w:r>
      <w:proofErr w:type="spellStart"/>
      <w:r w:rsidR="00E92FE7" w:rsidRPr="002B1559">
        <w:rPr>
          <w:rFonts w:ascii="Times New Roman" w:hAnsi="Times New Roman" w:cs="Times New Roman"/>
          <w:sz w:val="24"/>
          <w:szCs w:val="24"/>
        </w:rPr>
        <w:t>автентикация</w:t>
      </w:r>
      <w:proofErr w:type="spellEnd"/>
      <w:r w:rsidR="00E92FE7" w:rsidRPr="002B1559">
        <w:rPr>
          <w:rFonts w:ascii="Times New Roman" w:hAnsi="Times New Roman" w:cs="Times New Roman"/>
          <w:sz w:val="24"/>
          <w:szCs w:val="24"/>
        </w:rPr>
        <w:t xml:space="preserve"> на респондентите и анкетьорите на </w:t>
      </w:r>
      <w:r w:rsidR="003F0CBA" w:rsidRPr="002B1559">
        <w:rPr>
          <w:rFonts w:ascii="Times New Roman" w:hAnsi="Times New Roman" w:cs="Times New Roman"/>
          <w:sz w:val="24"/>
          <w:szCs w:val="24"/>
        </w:rPr>
        <w:t>НСИ</w:t>
      </w:r>
      <w:r w:rsidR="00D71F08" w:rsidRPr="002B1559">
        <w:rPr>
          <w:rFonts w:ascii="Times New Roman" w:hAnsi="Times New Roman" w:cs="Times New Roman"/>
          <w:sz w:val="24"/>
          <w:szCs w:val="24"/>
        </w:rPr>
        <w:t>. Същевременно ще се гарантира е</w:t>
      </w:r>
      <w:r w:rsidR="00E92FE7" w:rsidRPr="002B1559">
        <w:rPr>
          <w:rFonts w:ascii="Times New Roman" w:hAnsi="Times New Roman" w:cs="Times New Roman"/>
          <w:sz w:val="24"/>
          <w:szCs w:val="24"/>
        </w:rPr>
        <w:t>фективно управление и контрол върху упълномощените лица от страна на собствениците/управителите на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 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 респондентите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  </w:t>
      </w:r>
      <w:r w:rsidR="00E92FE7" w:rsidRPr="002B1559">
        <w:rPr>
          <w:rFonts w:ascii="Times New Roman" w:hAnsi="Times New Roman" w:cs="Times New Roman"/>
          <w:sz w:val="24"/>
          <w:szCs w:val="24"/>
        </w:rPr>
        <w:t>-</w:t>
      </w:r>
      <w:r w:rsidRPr="002B1559">
        <w:rPr>
          <w:rFonts w:ascii="Times New Roman" w:hAnsi="Times New Roman" w:cs="Times New Roman"/>
          <w:sz w:val="24"/>
          <w:szCs w:val="24"/>
        </w:rPr>
        <w:t xml:space="preserve"> </w:t>
      </w:r>
      <w:r w:rsidR="00E92FE7" w:rsidRPr="002B1559">
        <w:rPr>
          <w:rFonts w:ascii="Times New Roman" w:hAnsi="Times New Roman" w:cs="Times New Roman"/>
          <w:sz w:val="24"/>
          <w:szCs w:val="24"/>
        </w:rPr>
        <w:t>юридически лица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, както 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и върху анкетьорите от страна на администраторите </w:t>
      </w:r>
      <w:r w:rsidR="00D71F08" w:rsidRPr="002B1559">
        <w:rPr>
          <w:rFonts w:ascii="Times New Roman" w:hAnsi="Times New Roman" w:cs="Times New Roman"/>
          <w:sz w:val="24"/>
          <w:szCs w:val="24"/>
        </w:rPr>
        <w:t>в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 НСИ</w:t>
      </w:r>
      <w:r w:rsidR="00D71F08" w:rsidRPr="002B1559">
        <w:rPr>
          <w:rFonts w:ascii="Times New Roman" w:hAnsi="Times New Roman" w:cs="Times New Roman"/>
          <w:sz w:val="24"/>
          <w:szCs w:val="24"/>
        </w:rPr>
        <w:t>. Чрез системата респондентите ще получават н</w:t>
      </w:r>
      <w:r w:rsidR="00E92FE7" w:rsidRPr="002B1559">
        <w:rPr>
          <w:rFonts w:ascii="Times New Roman" w:hAnsi="Times New Roman" w:cs="Times New Roman"/>
          <w:sz w:val="24"/>
          <w:szCs w:val="24"/>
        </w:rPr>
        <w:t>адлежно уведомяване</w:t>
      </w:r>
      <w:r w:rsidR="00D71F08" w:rsidRPr="002B1559">
        <w:rPr>
          <w:rFonts w:ascii="Times New Roman" w:hAnsi="Times New Roman" w:cs="Times New Roman"/>
          <w:sz w:val="24"/>
          <w:szCs w:val="24"/>
        </w:rPr>
        <w:t xml:space="preserve"> за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 включ</w:t>
      </w:r>
      <w:r w:rsidR="00D71F08" w:rsidRPr="002B1559">
        <w:rPr>
          <w:rFonts w:ascii="Times New Roman" w:hAnsi="Times New Roman" w:cs="Times New Roman"/>
          <w:sz w:val="24"/>
          <w:szCs w:val="24"/>
        </w:rPr>
        <w:t>ването им в конкретно изследване</w:t>
      </w:r>
      <w:r w:rsidR="00E92FE7" w:rsidRPr="002B1559">
        <w:rPr>
          <w:rFonts w:ascii="Times New Roman" w:hAnsi="Times New Roman" w:cs="Times New Roman"/>
          <w:sz w:val="24"/>
          <w:szCs w:val="24"/>
        </w:rPr>
        <w:t xml:space="preserve"> чрез системата за Електронно връчване на МЕУ</w:t>
      </w:r>
      <w:r w:rsidR="00D71F08" w:rsidRPr="002B1559">
        <w:rPr>
          <w:rFonts w:ascii="Times New Roman" w:hAnsi="Times New Roman" w:cs="Times New Roman"/>
          <w:sz w:val="24"/>
          <w:szCs w:val="24"/>
        </w:rPr>
        <w:t>.</w:t>
      </w:r>
    </w:p>
    <w:p w14:paraId="01C8E613" w14:textId="77777777" w:rsidR="003F0CBA" w:rsidRPr="002B1559" w:rsidRDefault="00603636" w:rsidP="00702577">
      <w:pPr>
        <w:pStyle w:val="ListParagraph"/>
        <w:numPr>
          <w:ilvl w:val="1"/>
          <w:numId w:val="15"/>
        </w:numPr>
        <w:shd w:val="clear" w:color="auto" w:fill="FFFFFF"/>
        <w:tabs>
          <w:tab w:val="left" w:pos="851"/>
        </w:tabs>
        <w:spacing w:after="120"/>
        <w:ind w:left="0" w:firstLine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 xml:space="preserve">Всички </w:t>
      </w:r>
      <w:r w:rsidR="003F0CBA" w:rsidRPr="002B1559">
        <w:rPr>
          <w:rFonts w:ascii="Times New Roman" w:hAnsi="Times New Roman" w:cs="Times New Roman"/>
          <w:sz w:val="24"/>
          <w:szCs w:val="24"/>
        </w:rPr>
        <w:t>информационни системи</w:t>
      </w:r>
      <w:r w:rsidRPr="002B1559">
        <w:rPr>
          <w:rFonts w:ascii="Times New Roman" w:hAnsi="Times New Roman" w:cs="Times New Roman"/>
          <w:sz w:val="24"/>
          <w:szCs w:val="24"/>
        </w:rPr>
        <w:t xml:space="preserve"> на НСИ са </w:t>
      </w:r>
      <w:r w:rsidR="00776773" w:rsidRPr="002B1559">
        <w:rPr>
          <w:rFonts w:ascii="Times New Roman" w:hAnsi="Times New Roman" w:cs="Times New Roman"/>
          <w:sz w:val="24"/>
          <w:szCs w:val="24"/>
        </w:rPr>
        <w:t>надградени</w:t>
      </w:r>
      <w:r w:rsidR="003F0CBA" w:rsidRPr="002B1559">
        <w:rPr>
          <w:rFonts w:ascii="Times New Roman" w:hAnsi="Times New Roman" w:cs="Times New Roman"/>
          <w:sz w:val="24"/>
          <w:szCs w:val="24"/>
        </w:rPr>
        <w:t xml:space="preserve"> за работа с евро</w:t>
      </w:r>
      <w:r w:rsidRPr="002B1559">
        <w:rPr>
          <w:rFonts w:ascii="Times New Roman" w:hAnsi="Times New Roman" w:cs="Times New Roman"/>
          <w:sz w:val="24"/>
          <w:szCs w:val="24"/>
        </w:rPr>
        <w:t xml:space="preserve"> в</w:t>
      </w:r>
      <w:r w:rsidR="00776773" w:rsidRPr="002B1559">
        <w:rPr>
          <w:rFonts w:ascii="Times New Roman" w:hAnsi="Times New Roman" w:cs="Times New Roman"/>
          <w:sz w:val="24"/>
          <w:szCs w:val="24"/>
        </w:rPr>
        <w:t xml:space="preserve"> изпълнение на</w:t>
      </w:r>
      <w:r w:rsidR="00702577" w:rsidRPr="002B1559">
        <w:rPr>
          <w:rFonts w:ascii="Times New Roman" w:hAnsi="Times New Roman" w:cs="Times New Roman"/>
          <w:sz w:val="24"/>
          <w:szCs w:val="24"/>
        </w:rPr>
        <w:t xml:space="preserve"> Методическите указания за адаптирането на информационните системи на административните органи във връзка с въвеждането на еврото в Република България. </w:t>
      </w:r>
      <w:r w:rsidR="003F0CBA" w:rsidRPr="002B1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F19B5" w14:textId="77777777" w:rsidR="00D71F08" w:rsidRPr="002B1559" w:rsidRDefault="00776773" w:rsidP="005C52A9">
      <w:pPr>
        <w:pStyle w:val="NormalWeb"/>
        <w:numPr>
          <w:ilvl w:val="0"/>
          <w:numId w:val="15"/>
        </w:numPr>
        <w:shd w:val="clear" w:color="auto" w:fill="FFFFFF"/>
        <w:tabs>
          <w:tab w:val="clear" w:pos="720"/>
          <w:tab w:val="left" w:pos="567"/>
        </w:tabs>
        <w:spacing w:before="0" w:beforeAutospacing="0" w:after="120" w:afterAutospacing="0"/>
        <w:ind w:left="0" w:firstLine="284"/>
        <w:jc w:val="both"/>
      </w:pPr>
      <w:r w:rsidRPr="002B1559">
        <w:t xml:space="preserve">Новият сайт на НСИ беше пуснат в експлоатация в началото на юни 2025 година. </w:t>
      </w:r>
      <w:r w:rsidR="00D71F08" w:rsidRPr="002B1559">
        <w:t xml:space="preserve"> </w:t>
      </w:r>
      <w:r w:rsidR="00345FED" w:rsidRPr="002B1559">
        <w:t>Сайтът</w:t>
      </w:r>
      <w:r w:rsidR="00D71F08" w:rsidRPr="002B1559">
        <w:t xml:space="preserve"> </w:t>
      </w:r>
      <w:r w:rsidR="00555A84" w:rsidRPr="002B1559">
        <w:t>отгов</w:t>
      </w:r>
      <w:r w:rsidR="00345FED" w:rsidRPr="002B1559">
        <w:t xml:space="preserve">аря на най-новите изисквания за сайтове от най-ново поколение, както по отношение на </w:t>
      </w:r>
      <w:r w:rsidR="00555A84" w:rsidRPr="002B1559">
        <w:t>информационната сигурност</w:t>
      </w:r>
      <w:r w:rsidR="00345FED" w:rsidRPr="002B1559">
        <w:t xml:space="preserve">, така и за начините на представяне на статистическата информация. Той </w:t>
      </w:r>
      <w:r w:rsidR="00D71F08" w:rsidRPr="002B1559">
        <w:t>осигурява на всички заинтересовани страни лесен достъп до информационния ресурс на НСИ, вкл. и от мобил</w:t>
      </w:r>
      <w:r w:rsidR="00345FED" w:rsidRPr="002B1559">
        <w:t>ен</w:t>
      </w:r>
      <w:r w:rsidR="00D71F08" w:rsidRPr="002B1559">
        <w:t xml:space="preserve"> телефон. </w:t>
      </w:r>
    </w:p>
    <w:p w14:paraId="10F9EE14" w14:textId="77777777" w:rsidR="005C52A9" w:rsidRPr="002B1559" w:rsidRDefault="005C52A9" w:rsidP="005C52A9">
      <w:pPr>
        <w:pStyle w:val="ListParagraph"/>
        <w:numPr>
          <w:ilvl w:val="0"/>
          <w:numId w:val="15"/>
        </w:numPr>
        <w:tabs>
          <w:tab w:val="clear" w:pos="720"/>
          <w:tab w:val="num" w:pos="426"/>
        </w:tabs>
        <w:ind w:left="0" w:firstLine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1559">
        <w:rPr>
          <w:rFonts w:ascii="Times New Roman" w:hAnsi="Times New Roman" w:cs="Times New Roman"/>
          <w:iCs/>
          <w:sz w:val="24"/>
          <w:szCs w:val="24"/>
          <w:lang w:eastAsia="bg-BG"/>
        </w:rPr>
        <w:t xml:space="preserve">Друг информационен канал е дигиталната библиотека на НСИ. През отчетния период </w:t>
      </w:r>
      <w:r w:rsidRPr="002B1559">
        <w:rPr>
          <w:rFonts w:ascii="Times New Roman" w:hAnsi="Times New Roman" w:cs="Times New Roman"/>
          <w:iCs/>
          <w:sz w:val="24"/>
          <w:szCs w:val="24"/>
        </w:rPr>
        <w:t xml:space="preserve">е посетена от 23 817 потребители. Реализирани са 744 257 търсения в дигиталната библиотека, а прочетените страници са 829 562. В дигиталния център са сканирани и конвертирани в </w:t>
      </w:r>
      <w:proofErr w:type="spellStart"/>
      <w:r w:rsidRPr="002B1559">
        <w:rPr>
          <w:rFonts w:ascii="Times New Roman" w:hAnsi="Times New Roman" w:cs="Times New Roman"/>
          <w:iCs/>
          <w:sz w:val="24"/>
          <w:szCs w:val="24"/>
        </w:rPr>
        <w:t>пълнотекстов</w:t>
      </w:r>
      <w:proofErr w:type="spellEnd"/>
      <w:r w:rsidRPr="002B1559">
        <w:rPr>
          <w:rFonts w:ascii="Times New Roman" w:hAnsi="Times New Roman" w:cs="Times New Roman"/>
          <w:iCs/>
          <w:sz w:val="24"/>
          <w:szCs w:val="24"/>
        </w:rPr>
        <w:t xml:space="preserve"> формат над 58 000 страници.</w:t>
      </w:r>
    </w:p>
    <w:p w14:paraId="5F2F3E05" w14:textId="77777777" w:rsidR="00346C9E" w:rsidRPr="002B1559" w:rsidRDefault="005C52A9" w:rsidP="003F0CBA">
      <w:pPr>
        <w:pStyle w:val="ListParagraph"/>
        <w:numPr>
          <w:ilvl w:val="0"/>
          <w:numId w:val="15"/>
        </w:numPr>
        <w:tabs>
          <w:tab w:val="clear" w:pos="720"/>
          <w:tab w:val="num" w:pos="360"/>
        </w:tabs>
        <w:spacing w:after="120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1559">
        <w:rPr>
          <w:rFonts w:ascii="Times New Roman" w:hAnsi="Times New Roman" w:cs="Times New Roman"/>
          <w:sz w:val="24"/>
          <w:szCs w:val="24"/>
        </w:rPr>
        <w:t xml:space="preserve">Инвестиция </w:t>
      </w:r>
      <w:r w:rsidR="00346C9E" w:rsidRPr="002B1559">
        <w:rPr>
          <w:rFonts w:ascii="Times New Roman" w:hAnsi="Times New Roman" w:cs="Times New Roman"/>
          <w:sz w:val="24"/>
          <w:szCs w:val="24"/>
        </w:rPr>
        <w:t>С10.I10 „Модернизирана система за стратегическо планиране“ (проект 47 с предмет: „Технологичен инструмент за по-добро стратегическо планиране и управление на изпълнението на националните стратегически документи“ (наричан за кратко информационната система „</w:t>
      </w:r>
      <w:proofErr w:type="spellStart"/>
      <w:r w:rsidR="00346C9E" w:rsidRPr="002B1559">
        <w:rPr>
          <w:rFonts w:ascii="Times New Roman" w:hAnsi="Times New Roman" w:cs="Times New Roman"/>
          <w:sz w:val="24"/>
          <w:szCs w:val="24"/>
        </w:rPr>
        <w:t>Мониторстат</w:t>
      </w:r>
      <w:proofErr w:type="spellEnd"/>
      <w:r w:rsidR="00346C9E" w:rsidRPr="002B1559">
        <w:rPr>
          <w:rFonts w:ascii="Times New Roman" w:hAnsi="Times New Roman" w:cs="Times New Roman"/>
          <w:sz w:val="24"/>
          <w:szCs w:val="24"/>
        </w:rPr>
        <w:t>“)</w:t>
      </w:r>
      <w:r w:rsidR="00603636" w:rsidRPr="002B1559">
        <w:rPr>
          <w:rFonts w:ascii="Times New Roman" w:hAnsi="Times New Roman" w:cs="Times New Roman"/>
          <w:sz w:val="24"/>
          <w:szCs w:val="24"/>
        </w:rPr>
        <w:t>,</w:t>
      </w:r>
      <w:r w:rsidR="00346C9E" w:rsidRPr="002B1559">
        <w:rPr>
          <w:rFonts w:ascii="Times New Roman" w:hAnsi="Times New Roman" w:cs="Times New Roman"/>
          <w:sz w:val="24"/>
          <w:szCs w:val="24"/>
        </w:rPr>
        <w:t xml:space="preserve"> финансиран по Механизма за възстановяване и устойчивост по Национален план за възстановяване и устойчивост на Република България</w:t>
      </w:r>
      <w:r w:rsidRPr="002B1559">
        <w:rPr>
          <w:rFonts w:ascii="Times New Roman" w:hAnsi="Times New Roman" w:cs="Times New Roman"/>
          <w:sz w:val="24"/>
          <w:szCs w:val="24"/>
        </w:rPr>
        <w:t xml:space="preserve"> </w:t>
      </w:r>
      <w:r w:rsidRPr="002B155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B1559">
        <w:rPr>
          <w:rFonts w:ascii="Times New Roman" w:hAnsi="Times New Roman" w:cs="Times New Roman"/>
          <w:sz w:val="24"/>
          <w:szCs w:val="24"/>
        </w:rPr>
        <w:t xml:space="preserve"> изпълнена успешно </w:t>
      </w:r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заложените в инвестиционния проект условия и срокове.</w:t>
      </w:r>
    </w:p>
    <w:p w14:paraId="326B2DF8" w14:textId="77777777" w:rsidR="007A4677" w:rsidRPr="007A4677" w:rsidRDefault="00346C9E" w:rsidP="007A467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Надграден</w:t>
      </w:r>
      <w:r w:rsidR="000546B0"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ата ИС</w:t>
      </w:r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46B0"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Мониторстат</w:t>
      </w:r>
      <w:proofErr w:type="spellEnd"/>
      <w:r w:rsidR="000546B0"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поддържа интеграция с основните външни бази данни с индикатори – </w:t>
      </w:r>
      <w:r w:rsidR="005C52A9"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напр. на </w:t>
      </w:r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Евростат, като при създаване на </w:t>
      </w:r>
      <w:r w:rsidR="005C52A9"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нови </w:t>
      </w:r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стратегически документ</w:t>
      </w:r>
      <w:r w:rsidR="005C52A9"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системата и избор на индикатори, които ще се използват за наблюдение на напредъка, могат да се изберат както вече готови индикатори от тези източници, така и да се направят нови индикатори, отговарящи на специфични цели, чрез комбинация от готови индикатори и прилагане на изчисления върху тях или чрез избор на конкретни разрези от готовите индикатори</w:t>
      </w:r>
      <w:r w:rsidR="005C52A9"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2B1559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веднъж използвани индикатори ще се включват в каталог, от който могат да бъдат избирани отново и използвани за целите на други стратегически документи (индикаторна банка).</w:t>
      </w:r>
    </w:p>
    <w:p w14:paraId="54CF4900" w14:textId="77777777" w:rsidR="000F7D71" w:rsidRDefault="000F7D71">
      <w:pPr>
        <w:rPr>
          <w:rFonts w:ascii="Times New Roman" w:hAnsi="Times New Roman" w:cs="Times New Roman"/>
          <w:b/>
          <w:sz w:val="24"/>
          <w:szCs w:val="24"/>
        </w:rPr>
      </w:pPr>
    </w:p>
    <w:p w14:paraId="2F3070E6" w14:textId="77777777" w:rsidR="003101A5" w:rsidRPr="00020497" w:rsidRDefault="007D2517">
      <w:pPr>
        <w:rPr>
          <w:rFonts w:ascii="Times New Roman" w:hAnsi="Times New Roman" w:cs="Times New Roman"/>
        </w:rPr>
      </w:pPr>
      <w:r w:rsidRPr="00020497">
        <w:rPr>
          <w:rFonts w:ascii="Times New Roman" w:hAnsi="Times New Roman" w:cs="Times New Roman"/>
          <w:b/>
        </w:rPr>
        <w:t>Приложение № 6</w:t>
      </w:r>
      <w:r w:rsidRPr="00020497">
        <w:rPr>
          <w:rFonts w:ascii="Times New Roman" w:hAnsi="Times New Roman" w:cs="Times New Roman"/>
        </w:rPr>
        <w:t xml:space="preserve"> – Отчет на показателите за изпълнение по бюджетните програми</w:t>
      </w:r>
    </w:p>
    <w:tbl>
      <w:tblPr>
        <w:tblW w:w="9356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418"/>
        <w:gridCol w:w="1417"/>
        <w:gridCol w:w="1134"/>
      </w:tblGrid>
      <w:tr w:rsidR="00C40EBE" w:rsidRPr="00020497" w14:paraId="136F80E0" w14:textId="77777777" w:rsidTr="007D2517">
        <w:trPr>
          <w:trHeight w:val="12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7067F09B" w14:textId="77777777" w:rsidR="00C40EBE" w:rsidRPr="00020497" w:rsidRDefault="00E01E12" w:rsidP="00107C33">
            <w:pPr>
              <w:spacing w:after="0" w:line="240" w:lineRule="auto"/>
              <w:ind w:left="70" w:hanging="7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ПОКАЗАТЕЛИ ЗА ИЗПЪЛНЕНИЕ </w:t>
            </w:r>
          </w:p>
          <w:p w14:paraId="5E866E55" w14:textId="77777777" w:rsidR="00E01E12" w:rsidRPr="00020497" w:rsidRDefault="00E01E12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4100.01.01 Бюджетна програма „Национална статистическа програма“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E6E6E6"/>
            <w:noWrap/>
            <w:vAlign w:val="center"/>
            <w:hideMark/>
          </w:tcPr>
          <w:p w14:paraId="66438ED0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Мерна 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E6E6E6"/>
            <w:vAlign w:val="center"/>
            <w:hideMark/>
          </w:tcPr>
          <w:p w14:paraId="48CABCE5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Целева стойност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D9D9D9" w:fill="E6E6E6"/>
            <w:noWrap/>
            <w:vAlign w:val="center"/>
            <w:hideMark/>
          </w:tcPr>
          <w:p w14:paraId="24BD7648" w14:textId="77777777" w:rsidR="00C40EBE" w:rsidRPr="005A73D8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Отчет</w:t>
            </w:r>
          </w:p>
        </w:tc>
      </w:tr>
      <w:tr w:rsidR="00C40EBE" w:rsidRPr="005C52A9" w14:paraId="1B65865B" w14:textId="77777777" w:rsidTr="007D2517">
        <w:trPr>
          <w:trHeight w:val="255"/>
        </w:trPr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FC740" w14:textId="77777777" w:rsidR="00C40EBE" w:rsidRPr="00020497" w:rsidRDefault="00C40EB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1.Статистически изследвания и дейности по отделните области в НСП 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BACBA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Бр. статист. изследвания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E4A8A" w14:textId="77777777" w:rsidR="00C40EBE" w:rsidRPr="00020497" w:rsidRDefault="000F7D71" w:rsidP="00BF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335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9E6A6C" w14:textId="77777777" w:rsidR="00C40EBE" w:rsidRPr="005A73D8" w:rsidRDefault="000F7D71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305</w:t>
            </w:r>
          </w:p>
        </w:tc>
      </w:tr>
      <w:tr w:rsidR="00C40EBE" w:rsidRPr="005C52A9" w14:paraId="553F327D" w14:textId="77777777" w:rsidTr="007D2517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011B9" w14:textId="77777777" w:rsidR="00C40EBE" w:rsidRPr="00020497" w:rsidRDefault="00C111E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</w:t>
            </w:r>
            <w:r w:rsidR="00C40EBE"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Демографска и социална статистика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F14B6AE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10E32" w14:textId="77777777" w:rsidR="00C40EBE" w:rsidRPr="00020497" w:rsidRDefault="000F7D71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7A7DF6" w14:textId="77777777" w:rsidR="00C40EBE" w:rsidRPr="005A73D8" w:rsidRDefault="00DC7205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75</w:t>
            </w:r>
          </w:p>
        </w:tc>
      </w:tr>
      <w:tr w:rsidR="00C40EBE" w:rsidRPr="005C52A9" w14:paraId="621F228A" w14:textId="77777777" w:rsidTr="007D2517">
        <w:trPr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0C371" w14:textId="77777777" w:rsidR="00C40EBE" w:rsidRPr="00020497" w:rsidRDefault="00C40EB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Макроикономическа статистика;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D6C4AF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42026" w14:textId="77777777" w:rsidR="00C40EBE" w:rsidRPr="00020497" w:rsidRDefault="00DC7205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9242F3" w14:textId="77777777" w:rsidR="00C40EBE" w:rsidRPr="005A73D8" w:rsidRDefault="000F7D71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27</w:t>
            </w:r>
          </w:p>
        </w:tc>
      </w:tr>
      <w:tr w:rsidR="00C40EBE" w:rsidRPr="005C52A9" w14:paraId="694A5135" w14:textId="77777777" w:rsidTr="007D2517">
        <w:trPr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D0629" w14:textId="77777777" w:rsidR="00C40EBE" w:rsidRPr="00020497" w:rsidRDefault="00C40EB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Бизнес статистика;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240AA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79792" w14:textId="77777777" w:rsidR="00C40EBE" w:rsidRPr="00020497" w:rsidRDefault="00DC7205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5E7F66" w14:textId="77777777" w:rsidR="00C40EBE" w:rsidRPr="005A73D8" w:rsidRDefault="00726871" w:rsidP="0016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9</w:t>
            </w:r>
            <w:r w:rsidR="0016125D"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</w:t>
            </w:r>
          </w:p>
        </w:tc>
      </w:tr>
      <w:tr w:rsidR="00C40EBE" w:rsidRPr="005C52A9" w14:paraId="3D6A5862" w14:textId="77777777" w:rsidTr="007D2517">
        <w:trPr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A4055" w14:textId="77777777" w:rsidR="00C40EBE" w:rsidRPr="00020497" w:rsidRDefault="00C40EB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Статистика на селското и горското стопанство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22F42B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DCFB1" w14:textId="77777777" w:rsidR="00C40EBE" w:rsidRPr="00020497" w:rsidRDefault="00DC7205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158A61" w14:textId="77777777" w:rsidR="00C40EBE" w:rsidRPr="005A73D8" w:rsidRDefault="00726871" w:rsidP="00DC7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3</w:t>
            </w:r>
            <w:r w:rsidR="00DC7205"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2</w:t>
            </w:r>
          </w:p>
        </w:tc>
      </w:tr>
      <w:tr w:rsidR="00C40EBE" w:rsidRPr="005C52A9" w14:paraId="0661AAAD" w14:textId="77777777" w:rsidTr="007D2517">
        <w:trPr>
          <w:trHeight w:val="25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D7F15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 Многоотраслова статистика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9111C2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3241A" w14:textId="77777777" w:rsidR="00C40EBE" w:rsidRPr="00020497" w:rsidRDefault="00DC7205" w:rsidP="0016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4</w:t>
            </w:r>
            <w:r w:rsidR="0016125D"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6CF78E" w14:textId="77777777" w:rsidR="00C40EBE" w:rsidRPr="005A73D8" w:rsidRDefault="00726871" w:rsidP="0016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4</w:t>
            </w:r>
            <w:r w:rsidR="0016125D"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</w:t>
            </w:r>
          </w:p>
        </w:tc>
      </w:tr>
      <w:tr w:rsidR="00C40EBE" w:rsidRPr="005C52A9" w14:paraId="47F3F1EE" w14:textId="77777777" w:rsidTr="007D2517">
        <w:trPr>
          <w:trHeight w:val="4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D6924" w14:textId="77777777" w:rsidR="00C40EBE" w:rsidRPr="00020497" w:rsidRDefault="00C40EB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</w:t>
            </w:r>
            <w:r w:rsidR="00C111EE"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  Статистическа инфраструктура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17700F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2AB2B" w14:textId="77777777" w:rsidR="00C40EBE" w:rsidRPr="00020497" w:rsidRDefault="0016125D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DD618C" w14:textId="77777777" w:rsidR="00C40EBE" w:rsidRPr="005A73D8" w:rsidRDefault="0016125D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</w:t>
            </w:r>
          </w:p>
        </w:tc>
      </w:tr>
      <w:tr w:rsidR="00C40EBE" w:rsidRPr="005C52A9" w14:paraId="1DC3BE58" w14:textId="77777777" w:rsidTr="007D2517">
        <w:trPr>
          <w:trHeight w:val="4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0888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2.Относителен дял на новите изследвания и дейности от общия брой изследвания и дейности в НСП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5433E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A1627C" w14:textId="77777777" w:rsidR="00C40EBE" w:rsidRPr="00020497" w:rsidRDefault="0016125D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C1B64" w14:textId="77777777" w:rsidR="00C40EBE" w:rsidRPr="005A73D8" w:rsidRDefault="00DC7205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4</w:t>
            </w:r>
          </w:p>
        </w:tc>
      </w:tr>
      <w:tr w:rsidR="00C40EBE" w:rsidRPr="005C52A9" w14:paraId="3B828C24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08D6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3.Дял на изследванията с доклади за качеството/показатели за качеството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1F5E5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351A5" w14:textId="77777777" w:rsidR="00C40EBE" w:rsidRPr="00020497" w:rsidRDefault="00BF10AB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9</w:t>
            </w:r>
            <w:r w:rsidR="00E01E12"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7FFFBC" w14:textId="77777777" w:rsidR="00C40EBE" w:rsidRPr="005A73D8" w:rsidRDefault="00726871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90</w:t>
            </w:r>
          </w:p>
        </w:tc>
      </w:tr>
      <w:tr w:rsidR="00C40EBE" w:rsidRPr="005C52A9" w14:paraId="4FBB199D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70770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4.Посещения на страницата на НСИ в Интернет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51CAB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359A2D1" w14:textId="77777777" w:rsidR="00C40EBE" w:rsidRPr="00020497" w:rsidRDefault="0016125D" w:rsidP="00DC7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23 000</w:t>
            </w:r>
            <w:r w:rsidR="00C40EBE"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C7E579" w14:textId="77777777" w:rsidR="00C40EBE" w:rsidRPr="005A73D8" w:rsidRDefault="00020497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38  701 620</w:t>
            </w:r>
          </w:p>
        </w:tc>
      </w:tr>
      <w:tr w:rsidR="00C40EBE" w:rsidRPr="005C52A9" w14:paraId="7AEF55D0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280E3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5.Публикувани последни актуални данни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77109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A847AD" w14:textId="77777777" w:rsidR="00C40EBE" w:rsidRPr="00E66694" w:rsidRDefault="0016125D" w:rsidP="00DC7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val="en-US" w:eastAsia="bg-BG"/>
              </w:rPr>
            </w:pPr>
            <w:r w:rsidRPr="00B10C1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1 500</w:t>
            </w:r>
            <w:r w:rsidR="00C40EBE" w:rsidRPr="00B10C14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 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D296C9" w14:textId="77777777" w:rsidR="00C40EBE" w:rsidRPr="005A73D8" w:rsidRDefault="00020497" w:rsidP="0016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2 936</w:t>
            </w:r>
          </w:p>
        </w:tc>
      </w:tr>
      <w:tr w:rsidR="00C40EBE" w:rsidRPr="005C52A9" w14:paraId="79019D23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00A0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6.Прессъобщения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E1E7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972458" w14:textId="77777777" w:rsidR="00C40EBE" w:rsidRPr="00020497" w:rsidRDefault="0016125D" w:rsidP="00824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950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5A4479" w14:textId="77777777" w:rsidR="00C40EBE" w:rsidRPr="005A73D8" w:rsidRDefault="00020497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937</w:t>
            </w:r>
          </w:p>
        </w:tc>
      </w:tr>
      <w:tr w:rsidR="00C40EBE" w:rsidRPr="005C52A9" w14:paraId="0182C15E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636FC" w14:textId="77777777" w:rsidR="00C40EBE" w:rsidRPr="00020497" w:rsidRDefault="00C40EB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7.Публикувани метаданни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83158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79E7F7" w14:textId="77777777" w:rsidR="00C40EBE" w:rsidRPr="00020497" w:rsidRDefault="0016125D" w:rsidP="00DC7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470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C4D742" w14:textId="77777777" w:rsidR="00C40EBE" w:rsidRPr="005A73D8" w:rsidRDefault="00020497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368</w:t>
            </w:r>
          </w:p>
        </w:tc>
      </w:tr>
      <w:tr w:rsidR="00C40EBE" w:rsidRPr="005C52A9" w14:paraId="63F6DAFE" w14:textId="77777777" w:rsidTr="007D2517">
        <w:trPr>
          <w:trHeight w:val="4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0E414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8.Информационни материали, предоставени по заявка на потребители в страната и чужбина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A9E32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13BBB9" w14:textId="77777777" w:rsidR="00C40EBE" w:rsidRPr="00020497" w:rsidRDefault="00DC7205" w:rsidP="0016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 xml:space="preserve">1 </w:t>
            </w:r>
            <w:r w:rsidR="0016125D"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5</w:t>
            </w: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1551FC" w14:textId="77777777" w:rsidR="00C40EBE" w:rsidRPr="005A73D8" w:rsidRDefault="00020497" w:rsidP="0016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2378</w:t>
            </w:r>
          </w:p>
        </w:tc>
      </w:tr>
      <w:tr w:rsidR="00C40EBE" w:rsidRPr="005C52A9" w14:paraId="5936BE39" w14:textId="77777777" w:rsidTr="007D2517">
        <w:trPr>
          <w:trHeight w:val="4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C2B71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9.Действащи споразумения за информационен обмен с органи на държавната администрация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B42B9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1BA7A6" w14:textId="77777777" w:rsidR="00C40EBE" w:rsidRPr="00020497" w:rsidRDefault="0016125D" w:rsidP="00824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B4946" w14:textId="77777777" w:rsidR="00C40EBE" w:rsidRPr="005A73D8" w:rsidRDefault="00020497" w:rsidP="0016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71</w:t>
            </w:r>
          </w:p>
        </w:tc>
      </w:tr>
      <w:tr w:rsidR="00C40EBE" w:rsidRPr="005C52A9" w14:paraId="129FBF67" w14:textId="77777777" w:rsidTr="007D2517">
        <w:trPr>
          <w:trHeight w:val="4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C689A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10.Предоставяне на статистическа информация по въпросници на международни организации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591E5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ACFA4" w14:textId="77777777" w:rsidR="00C40EBE" w:rsidRPr="00020497" w:rsidRDefault="0016125D" w:rsidP="00DC72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C8B10" w14:textId="77777777" w:rsidR="00C40EBE" w:rsidRPr="005A73D8" w:rsidRDefault="00020497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63</w:t>
            </w:r>
          </w:p>
        </w:tc>
      </w:tr>
      <w:tr w:rsidR="00C40EBE" w:rsidRPr="005C52A9" w14:paraId="3BC2B6AD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E9D0D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11.Участие на НСИ в междуведомствени работни групи на национално равнище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BABE7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 групи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DE8EE4" w14:textId="77777777" w:rsidR="00C40EBE" w:rsidRPr="00020497" w:rsidRDefault="00BF10AB" w:rsidP="00161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1</w:t>
            </w:r>
            <w:r w:rsidR="0016125D"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</w:t>
            </w:r>
            <w:r w:rsidR="00DC7205" w:rsidRPr="0002049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C8FBB" w14:textId="77777777" w:rsidR="00C40EBE" w:rsidRPr="005A73D8" w:rsidRDefault="00DC7205" w:rsidP="000204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18</w:t>
            </w:r>
            <w:r w:rsidR="00020497"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7</w:t>
            </w:r>
          </w:p>
        </w:tc>
      </w:tr>
      <w:tr w:rsidR="00C40EBE" w:rsidRPr="005C52A9" w14:paraId="3E4A7C65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6D819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12.Проведени изследвания за мнението на потребителите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D1B56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0E8D6E" w14:textId="77777777" w:rsidR="00C40EBE" w:rsidRPr="00020497" w:rsidRDefault="0016125D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5490F9" w14:textId="77777777" w:rsidR="00C40EBE" w:rsidRPr="005A73D8" w:rsidRDefault="0016125D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0</w:t>
            </w:r>
          </w:p>
        </w:tc>
      </w:tr>
      <w:tr w:rsidR="00C40EBE" w:rsidRPr="005C52A9" w14:paraId="10F64ED3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303A9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13.Проведени обучения на служителите от НСИ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0437D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 участия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9C4C2" w14:textId="77777777" w:rsidR="00C40EBE" w:rsidRPr="00020497" w:rsidRDefault="0016125D" w:rsidP="00BF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1306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6E4914" w14:textId="77777777" w:rsidR="00C40EBE" w:rsidRPr="005A73D8" w:rsidRDefault="0016125D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1035</w:t>
            </w:r>
          </w:p>
        </w:tc>
      </w:tr>
      <w:tr w:rsidR="00C40EBE" w:rsidRPr="005C52A9" w14:paraId="53D6095F" w14:textId="77777777" w:rsidTr="007D2517">
        <w:trPr>
          <w:trHeight w:val="4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A9DDD" w14:textId="77777777" w:rsidR="00C40EBE" w:rsidRPr="00020497" w:rsidRDefault="00C40EBE" w:rsidP="00C40E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14.Относителен дял на изследванията, които се базират на административни източници, от всички изследвания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6FD60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F340C3" w14:textId="77777777" w:rsidR="00C40EBE" w:rsidRPr="00020497" w:rsidRDefault="00C40EBE" w:rsidP="00824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</w:p>
          <w:p w14:paraId="2A086078" w14:textId="77777777" w:rsidR="00DC7205" w:rsidRPr="00020497" w:rsidRDefault="0016125D" w:rsidP="00824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699717" w14:textId="77777777" w:rsidR="00C40EBE" w:rsidRPr="005A73D8" w:rsidRDefault="0016125D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27</w:t>
            </w:r>
          </w:p>
        </w:tc>
      </w:tr>
      <w:tr w:rsidR="00C40EBE" w:rsidRPr="005C52A9" w14:paraId="0666F189" w14:textId="77777777" w:rsidTr="007D2517">
        <w:trPr>
          <w:trHeight w:val="270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6E4E" w14:textId="77777777" w:rsidR="00C40EBE" w:rsidRPr="00020497" w:rsidRDefault="00C40EB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15.Европейски проекти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9CA7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8C5EE0" w14:textId="77777777" w:rsidR="00C40EBE" w:rsidRPr="00020497" w:rsidRDefault="0016125D" w:rsidP="00BF1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097A9" w14:textId="77777777" w:rsidR="00C40EBE" w:rsidRPr="005A73D8" w:rsidRDefault="005008E9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20</w:t>
            </w:r>
          </w:p>
        </w:tc>
      </w:tr>
      <w:tr w:rsidR="00C40EBE" w:rsidRPr="005C52A9" w14:paraId="188973E7" w14:textId="77777777" w:rsidTr="007D2517">
        <w:trPr>
          <w:trHeight w:val="465"/>
        </w:trPr>
        <w:tc>
          <w:tcPr>
            <w:tcW w:w="5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CBEA8" w14:textId="77777777" w:rsidR="00C40EBE" w:rsidRPr="00020497" w:rsidRDefault="00C40EBE" w:rsidP="00C40E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16.Участие на НСИ в комитети и работни групи на европейско и международно равнище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FB1D" w14:textId="77777777" w:rsidR="00C40EBE" w:rsidRPr="00020497" w:rsidRDefault="00C40EBE" w:rsidP="00C4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 срещи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05756" w14:textId="77777777" w:rsidR="00C40EBE" w:rsidRPr="00020497" w:rsidRDefault="0016125D" w:rsidP="00824C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020497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160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E342E1" w14:textId="77777777" w:rsidR="00C40EBE" w:rsidRPr="005A73D8" w:rsidRDefault="00DC7205" w:rsidP="00C40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</w:pPr>
            <w:r w:rsidRPr="005A73D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bg-BG"/>
              </w:rPr>
              <w:t>105</w:t>
            </w:r>
          </w:p>
        </w:tc>
      </w:tr>
    </w:tbl>
    <w:p w14:paraId="6C30274D" w14:textId="77777777" w:rsidR="00107C33" w:rsidRPr="002B1559" w:rsidRDefault="00107C33">
      <w:pPr>
        <w:rPr>
          <w:rFonts w:ascii="Times New Roman" w:hAnsi="Times New Roman" w:cs="Times New Roman"/>
          <w:sz w:val="18"/>
          <w:szCs w:val="18"/>
        </w:rPr>
      </w:pPr>
    </w:p>
    <w:p w14:paraId="0E60B2A1" w14:textId="77777777" w:rsidR="00017766" w:rsidRDefault="00F60237" w:rsidP="00FB1414">
      <w:pPr>
        <w:spacing w:before="120"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B1559">
        <w:rPr>
          <w:rFonts w:ascii="Times New Roman" w:hAnsi="Times New Roman"/>
          <w:sz w:val="24"/>
          <w:szCs w:val="24"/>
        </w:rPr>
        <w:t xml:space="preserve">През </w:t>
      </w:r>
      <w:r w:rsidR="00481BF5" w:rsidRPr="002B1559">
        <w:rPr>
          <w:rFonts w:ascii="Times New Roman" w:hAnsi="Times New Roman"/>
          <w:sz w:val="24"/>
          <w:szCs w:val="24"/>
        </w:rPr>
        <w:t>202</w:t>
      </w:r>
      <w:r w:rsidR="00BF44CE" w:rsidRPr="002B1559">
        <w:rPr>
          <w:rFonts w:ascii="Times New Roman" w:hAnsi="Times New Roman"/>
          <w:sz w:val="24"/>
          <w:szCs w:val="24"/>
        </w:rPr>
        <w:t>5</w:t>
      </w:r>
      <w:r w:rsidR="00481BF5" w:rsidRPr="002B1559">
        <w:rPr>
          <w:rFonts w:ascii="Times New Roman" w:hAnsi="Times New Roman"/>
          <w:sz w:val="24"/>
          <w:szCs w:val="24"/>
        </w:rPr>
        <w:t xml:space="preserve"> г., НСИ стартира в срок всички статистически изследвания, както са дефинирани в Националната статистическа програма (НСП 202</w:t>
      </w:r>
      <w:r w:rsidR="00607598" w:rsidRPr="002B1559">
        <w:rPr>
          <w:rFonts w:ascii="Times New Roman" w:hAnsi="Times New Roman"/>
          <w:sz w:val="24"/>
          <w:szCs w:val="24"/>
        </w:rPr>
        <w:t>5</w:t>
      </w:r>
      <w:r w:rsidR="00FB1414" w:rsidRPr="002B1559">
        <w:rPr>
          <w:rFonts w:ascii="Times New Roman" w:hAnsi="Times New Roman"/>
          <w:sz w:val="24"/>
          <w:szCs w:val="24"/>
        </w:rPr>
        <w:t>).</w:t>
      </w:r>
    </w:p>
    <w:p w14:paraId="2EB1957E" w14:textId="77777777" w:rsidR="004C15FE" w:rsidRDefault="004C15FE">
      <w:pPr>
        <w:rPr>
          <w:rFonts w:ascii="Times New Roman" w:hAnsi="Times New Roman" w:cs="Times New Roman"/>
          <w:sz w:val="18"/>
          <w:szCs w:val="18"/>
        </w:rPr>
      </w:pPr>
    </w:p>
    <w:p w14:paraId="6DC0D5CB" w14:textId="77777777" w:rsidR="007A4677" w:rsidRDefault="007A4677" w:rsidP="007D25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D6B07A" w14:textId="77777777" w:rsidR="004F2A6A" w:rsidRDefault="004F2A6A" w:rsidP="007D25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3D092B" w14:textId="77777777" w:rsidR="004F2A6A" w:rsidRDefault="004F2A6A" w:rsidP="007D251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59016" w14:textId="77777777" w:rsidR="007D2517" w:rsidRDefault="007D2517" w:rsidP="002B1559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A4677">
        <w:rPr>
          <w:rFonts w:ascii="Times New Roman" w:eastAsia="Times New Roman" w:hAnsi="Times New Roman" w:cs="Times New Roman"/>
          <w:b/>
        </w:rPr>
        <w:lastRenderedPageBreak/>
        <w:t>Приложение № 7</w:t>
      </w:r>
      <w:r w:rsidRPr="007A4677">
        <w:rPr>
          <w:rFonts w:ascii="Times New Roman" w:eastAsia="Times New Roman" w:hAnsi="Times New Roman" w:cs="Times New Roman"/>
        </w:rPr>
        <w:t xml:space="preserve"> – Отчет на разходите по бюджетните програми с разпределение по ведомствени и администрирани разходи</w:t>
      </w:r>
    </w:p>
    <w:p w14:paraId="00C57131" w14:textId="77777777" w:rsidR="007A4677" w:rsidRPr="007A4677" w:rsidRDefault="007A4677" w:rsidP="002B1559">
      <w:pPr>
        <w:keepNext/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523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"/>
        <w:gridCol w:w="5171"/>
        <w:gridCol w:w="1234"/>
        <w:gridCol w:w="1276"/>
        <w:gridCol w:w="1134"/>
      </w:tblGrid>
      <w:tr w:rsidR="007D2517" w:rsidRPr="007D2517" w14:paraId="0DC17767" w14:textId="77777777" w:rsidTr="000B70E9">
        <w:trPr>
          <w:trHeight w:val="645"/>
        </w:trPr>
        <w:tc>
          <w:tcPr>
            <w:tcW w:w="428" w:type="pct"/>
            <w:shd w:val="clear" w:color="auto" w:fill="E6E6E6"/>
            <w:noWrap/>
            <w:vAlign w:val="center"/>
          </w:tcPr>
          <w:p w14:paraId="31940612" w14:textId="77777777" w:rsidR="007D2517" w:rsidRPr="007D2517" w:rsidRDefault="007D2517" w:rsidP="007D2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2682" w:type="pct"/>
            <w:shd w:val="clear" w:color="auto" w:fill="E6E6E6"/>
            <w:noWrap/>
            <w:vAlign w:val="center"/>
          </w:tcPr>
          <w:p w14:paraId="16B9ACE5" w14:textId="77777777" w:rsidR="007D2517" w:rsidRPr="007D2517" w:rsidRDefault="007D2517" w:rsidP="007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C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t>4100.01.01 Бюджетна програма „Национална статистическа програма“</w:t>
            </w:r>
            <w:r w:rsidRPr="004C15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bg-BG"/>
              </w:rPr>
              <w:br/>
              <w:t>(в лева)</w:t>
            </w:r>
          </w:p>
        </w:tc>
        <w:tc>
          <w:tcPr>
            <w:tcW w:w="640" w:type="pct"/>
            <w:shd w:val="clear" w:color="auto" w:fill="E6E6E6"/>
            <w:vAlign w:val="center"/>
          </w:tcPr>
          <w:p w14:paraId="6C2A8FB0" w14:textId="77777777" w:rsidR="007D2517" w:rsidRPr="007D2517" w:rsidRDefault="007D2517" w:rsidP="007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Закон</w:t>
            </w:r>
          </w:p>
        </w:tc>
        <w:tc>
          <w:tcPr>
            <w:tcW w:w="662" w:type="pct"/>
            <w:shd w:val="clear" w:color="auto" w:fill="E6E6E6"/>
            <w:vAlign w:val="center"/>
          </w:tcPr>
          <w:p w14:paraId="37D747DD" w14:textId="77777777" w:rsidR="007D2517" w:rsidRPr="007D2517" w:rsidRDefault="007D2517" w:rsidP="007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Уточнен план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58ECC153" w14:textId="77777777" w:rsidR="007D2517" w:rsidRPr="007D2517" w:rsidRDefault="007D2517" w:rsidP="007D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Отчет</w:t>
            </w:r>
          </w:p>
        </w:tc>
      </w:tr>
      <w:tr w:rsidR="007D2517" w:rsidRPr="007D2517" w14:paraId="5C1AD8E0" w14:textId="77777777" w:rsidTr="000B70E9">
        <w:trPr>
          <w:trHeight w:val="255"/>
        </w:trPr>
        <w:tc>
          <w:tcPr>
            <w:tcW w:w="428" w:type="pct"/>
            <w:shd w:val="clear" w:color="CCCCFF" w:fill="E6E6E6"/>
            <w:noWrap/>
            <w:vAlign w:val="bottom"/>
          </w:tcPr>
          <w:p w14:paraId="520E739F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І.</w:t>
            </w:r>
          </w:p>
        </w:tc>
        <w:tc>
          <w:tcPr>
            <w:tcW w:w="2682" w:type="pct"/>
            <w:shd w:val="clear" w:color="CCCCFF" w:fill="E6E6E6"/>
            <w:noWrap/>
            <w:vAlign w:val="bottom"/>
          </w:tcPr>
          <w:p w14:paraId="0F76865D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Общо ведомствени разходи:</w:t>
            </w:r>
          </w:p>
        </w:tc>
        <w:tc>
          <w:tcPr>
            <w:tcW w:w="640" w:type="pct"/>
            <w:shd w:val="clear" w:color="CCCCFF" w:fill="E6E6E6"/>
            <w:noWrap/>
            <w:vAlign w:val="bottom"/>
          </w:tcPr>
          <w:p w14:paraId="510D4AF7" w14:textId="77777777" w:rsidR="007D2517" w:rsidRPr="007D2517" w:rsidRDefault="003A03E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48 895 000</w:t>
            </w:r>
          </w:p>
        </w:tc>
        <w:tc>
          <w:tcPr>
            <w:tcW w:w="662" w:type="pct"/>
            <w:shd w:val="clear" w:color="CCCCFF" w:fill="E6E6E6"/>
            <w:noWrap/>
            <w:vAlign w:val="bottom"/>
          </w:tcPr>
          <w:p w14:paraId="0601D3E1" w14:textId="77777777" w:rsidR="007D2517" w:rsidRPr="007D2517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51 053 317</w:t>
            </w:r>
          </w:p>
        </w:tc>
        <w:tc>
          <w:tcPr>
            <w:tcW w:w="588" w:type="pct"/>
            <w:shd w:val="clear" w:color="CCCCFF" w:fill="E6E6E6"/>
            <w:noWrap/>
            <w:vAlign w:val="bottom"/>
          </w:tcPr>
          <w:p w14:paraId="0F2A12AB" w14:textId="77777777" w:rsidR="007D2517" w:rsidRPr="007D2517" w:rsidRDefault="00FD1E55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51 918 991</w:t>
            </w:r>
          </w:p>
        </w:tc>
      </w:tr>
      <w:tr w:rsidR="007D2517" w:rsidRPr="007D2517" w14:paraId="40E0B275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0CFEF068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2B596FE4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Персонал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21265AD1" w14:textId="77777777" w:rsidR="007D2517" w:rsidRPr="007D2517" w:rsidRDefault="003A03E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38 541 300</w:t>
            </w: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5776C75C" w14:textId="77777777" w:rsidR="007D2517" w:rsidRPr="007D2517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38 450 976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02CB008C" w14:textId="77777777" w:rsidR="007D2517" w:rsidRPr="007D2517" w:rsidRDefault="00FD1E55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38 004 490</w:t>
            </w:r>
          </w:p>
        </w:tc>
      </w:tr>
      <w:tr w:rsidR="007D2517" w:rsidRPr="007D2517" w14:paraId="0E6F7D6D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072B03CF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183DC364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Издръжка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147D86BB" w14:textId="77777777" w:rsidR="007D2517" w:rsidRPr="007D2517" w:rsidRDefault="003A03E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4 980 700</w:t>
            </w: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2EA67EA3" w14:textId="77777777" w:rsidR="007D2517" w:rsidRPr="007D2517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7 229 341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445510BA" w14:textId="77777777" w:rsidR="007D2517" w:rsidRPr="007D2517" w:rsidRDefault="00FD1E55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7 237 183</w:t>
            </w:r>
          </w:p>
        </w:tc>
      </w:tr>
      <w:tr w:rsidR="007D2517" w:rsidRPr="007D2517" w14:paraId="56F1AAC9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662B6782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2A2EC6D0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Капиталови разходи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5F8DD235" w14:textId="77777777" w:rsidR="007D2517" w:rsidRPr="007D2517" w:rsidRDefault="003A03E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5 373 000</w:t>
            </w: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5EC62161" w14:textId="77777777" w:rsidR="007D2517" w:rsidRPr="007D2517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5 373 000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71FB762E" w14:textId="77777777" w:rsidR="007D2517" w:rsidRPr="007D2517" w:rsidRDefault="00FD1E55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6 677 318</w:t>
            </w:r>
          </w:p>
        </w:tc>
      </w:tr>
      <w:tr w:rsidR="00E27291" w:rsidRPr="007D2517" w14:paraId="4BABC245" w14:textId="77777777" w:rsidTr="000B70E9">
        <w:trPr>
          <w:trHeight w:val="255"/>
        </w:trPr>
        <w:tc>
          <w:tcPr>
            <w:tcW w:w="428" w:type="pct"/>
            <w:shd w:val="clear" w:color="CCCCFF" w:fill="E6E6E6"/>
            <w:noWrap/>
            <w:vAlign w:val="bottom"/>
          </w:tcPr>
          <w:p w14:paraId="1031C667" w14:textId="77777777" w:rsidR="00E27291" w:rsidRPr="007D2517" w:rsidRDefault="00E27291" w:rsidP="00E27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682" w:type="pct"/>
            <w:shd w:val="clear" w:color="CCCCFF" w:fill="E6E6E6"/>
            <w:noWrap/>
            <w:vAlign w:val="bottom"/>
          </w:tcPr>
          <w:p w14:paraId="609507AD" w14:textId="77777777" w:rsidR="00E27291" w:rsidRPr="007D2517" w:rsidRDefault="00E27291" w:rsidP="00E27291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Ведомствени разходи по бюджета на ПРБ:</w:t>
            </w:r>
          </w:p>
        </w:tc>
        <w:tc>
          <w:tcPr>
            <w:tcW w:w="640" w:type="pct"/>
            <w:shd w:val="clear" w:color="CCCCFF" w:fill="E6E6E6"/>
            <w:noWrap/>
            <w:vAlign w:val="bottom"/>
          </w:tcPr>
          <w:p w14:paraId="505462C5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46 101 000</w:t>
            </w:r>
          </w:p>
        </w:tc>
        <w:tc>
          <w:tcPr>
            <w:tcW w:w="662" w:type="pct"/>
            <w:shd w:val="clear" w:color="CCCCFF" w:fill="E6E6E6"/>
            <w:noWrap/>
            <w:vAlign w:val="bottom"/>
          </w:tcPr>
          <w:p w14:paraId="505E011F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46 196 624</w:t>
            </w:r>
          </w:p>
        </w:tc>
        <w:tc>
          <w:tcPr>
            <w:tcW w:w="588" w:type="pct"/>
            <w:shd w:val="clear" w:color="CCCCFF" w:fill="E6E6E6"/>
            <w:noWrap/>
            <w:vAlign w:val="bottom"/>
          </w:tcPr>
          <w:p w14:paraId="415DEF22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27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45 543 610</w:t>
            </w:r>
          </w:p>
        </w:tc>
      </w:tr>
      <w:tr w:rsidR="00E27291" w:rsidRPr="007D2517" w14:paraId="5E1CD401" w14:textId="77777777" w:rsidTr="000B70E9">
        <w:trPr>
          <w:trHeight w:val="255"/>
        </w:trPr>
        <w:tc>
          <w:tcPr>
            <w:tcW w:w="428" w:type="pct"/>
            <w:shd w:val="clear" w:color="CCCCFF" w:fill="auto"/>
            <w:noWrap/>
            <w:vAlign w:val="bottom"/>
          </w:tcPr>
          <w:p w14:paraId="17489F85" w14:textId="77777777" w:rsidR="00E27291" w:rsidRPr="007D2517" w:rsidRDefault="00E27291" w:rsidP="00E27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CCCCFF" w:fill="auto"/>
            <w:noWrap/>
            <w:vAlign w:val="bottom"/>
          </w:tcPr>
          <w:p w14:paraId="581C6B9C" w14:textId="77777777" w:rsidR="00E27291" w:rsidRPr="007D2517" w:rsidRDefault="00E27291" w:rsidP="00E27291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Персонал</w:t>
            </w:r>
          </w:p>
        </w:tc>
        <w:tc>
          <w:tcPr>
            <w:tcW w:w="640" w:type="pct"/>
            <w:shd w:val="clear" w:color="CCCCFF" w:fill="auto"/>
            <w:noWrap/>
            <w:vAlign w:val="bottom"/>
          </w:tcPr>
          <w:p w14:paraId="555925A6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35 797 300</w:t>
            </w:r>
          </w:p>
        </w:tc>
        <w:tc>
          <w:tcPr>
            <w:tcW w:w="662" w:type="pct"/>
            <w:shd w:val="clear" w:color="CCCCFF" w:fill="auto"/>
            <w:noWrap/>
            <w:vAlign w:val="bottom"/>
          </w:tcPr>
          <w:p w14:paraId="5806334F" w14:textId="77777777" w:rsidR="00E27291" w:rsidRPr="007D2517" w:rsidRDefault="00691648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35 291 820</w:t>
            </w:r>
          </w:p>
        </w:tc>
        <w:tc>
          <w:tcPr>
            <w:tcW w:w="588" w:type="pct"/>
            <w:shd w:val="clear" w:color="CCCCFF" w:fill="auto"/>
            <w:noWrap/>
            <w:vAlign w:val="bottom"/>
          </w:tcPr>
          <w:p w14:paraId="00EB4E05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34 642 661</w:t>
            </w:r>
          </w:p>
        </w:tc>
      </w:tr>
      <w:tr w:rsidR="00E27291" w:rsidRPr="007D2517" w14:paraId="4EE18E0F" w14:textId="77777777" w:rsidTr="000B70E9">
        <w:trPr>
          <w:trHeight w:val="255"/>
        </w:trPr>
        <w:tc>
          <w:tcPr>
            <w:tcW w:w="428" w:type="pct"/>
            <w:shd w:val="clear" w:color="CCCCFF" w:fill="auto"/>
            <w:noWrap/>
            <w:vAlign w:val="bottom"/>
          </w:tcPr>
          <w:p w14:paraId="12FE216E" w14:textId="77777777" w:rsidR="00E27291" w:rsidRPr="007D2517" w:rsidRDefault="00E27291" w:rsidP="00E27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CCCCFF" w:fill="auto"/>
            <w:noWrap/>
            <w:vAlign w:val="bottom"/>
          </w:tcPr>
          <w:p w14:paraId="3A552997" w14:textId="77777777" w:rsidR="00E27291" w:rsidRPr="007D2517" w:rsidRDefault="00E27291" w:rsidP="00E27291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Издръжка</w:t>
            </w:r>
          </w:p>
        </w:tc>
        <w:tc>
          <w:tcPr>
            <w:tcW w:w="640" w:type="pct"/>
            <w:shd w:val="clear" w:color="CCCCFF" w:fill="auto"/>
            <w:noWrap/>
            <w:vAlign w:val="bottom"/>
          </w:tcPr>
          <w:p w14:paraId="70295B45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4 930 700  </w:t>
            </w:r>
          </w:p>
        </w:tc>
        <w:tc>
          <w:tcPr>
            <w:tcW w:w="662" w:type="pct"/>
            <w:shd w:val="clear" w:color="CCCCFF" w:fill="auto"/>
            <w:noWrap/>
            <w:vAlign w:val="bottom"/>
          </w:tcPr>
          <w:p w14:paraId="7D9F68F6" w14:textId="77777777" w:rsidR="00E27291" w:rsidRPr="007D2517" w:rsidRDefault="00691648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5 531 804</w:t>
            </w:r>
          </w:p>
        </w:tc>
        <w:tc>
          <w:tcPr>
            <w:tcW w:w="588" w:type="pct"/>
            <w:shd w:val="clear" w:color="CCCCFF" w:fill="auto"/>
            <w:noWrap/>
            <w:vAlign w:val="bottom"/>
          </w:tcPr>
          <w:p w14:paraId="678AB228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5 529 283</w:t>
            </w:r>
          </w:p>
        </w:tc>
      </w:tr>
      <w:tr w:rsidR="00E27291" w:rsidRPr="007D2517" w14:paraId="09C8EB7E" w14:textId="77777777" w:rsidTr="000B70E9">
        <w:trPr>
          <w:trHeight w:val="255"/>
        </w:trPr>
        <w:tc>
          <w:tcPr>
            <w:tcW w:w="428" w:type="pct"/>
            <w:shd w:val="clear" w:color="CCCCFF" w:fill="auto"/>
            <w:noWrap/>
            <w:vAlign w:val="bottom"/>
          </w:tcPr>
          <w:p w14:paraId="3E13B402" w14:textId="77777777" w:rsidR="00E27291" w:rsidRPr="007D2517" w:rsidRDefault="00E27291" w:rsidP="00E27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CCCCFF" w:fill="auto"/>
            <w:noWrap/>
            <w:vAlign w:val="bottom"/>
          </w:tcPr>
          <w:p w14:paraId="14ED9369" w14:textId="77777777" w:rsidR="00E27291" w:rsidRPr="007D2517" w:rsidRDefault="00E27291" w:rsidP="00E27291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Капиталови разходи</w:t>
            </w:r>
          </w:p>
        </w:tc>
        <w:tc>
          <w:tcPr>
            <w:tcW w:w="640" w:type="pct"/>
            <w:shd w:val="clear" w:color="CCCCFF" w:fill="auto"/>
            <w:noWrap/>
            <w:vAlign w:val="bottom"/>
          </w:tcPr>
          <w:p w14:paraId="793CDF16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5 373 000 </w:t>
            </w:r>
          </w:p>
        </w:tc>
        <w:tc>
          <w:tcPr>
            <w:tcW w:w="662" w:type="pct"/>
            <w:shd w:val="clear" w:color="CCCCFF" w:fill="auto"/>
            <w:noWrap/>
            <w:vAlign w:val="bottom"/>
          </w:tcPr>
          <w:p w14:paraId="2F4734D2" w14:textId="77777777" w:rsidR="00E27291" w:rsidRPr="007D2517" w:rsidRDefault="00691648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5 373 000</w:t>
            </w:r>
          </w:p>
        </w:tc>
        <w:tc>
          <w:tcPr>
            <w:tcW w:w="588" w:type="pct"/>
            <w:shd w:val="clear" w:color="CCCCFF" w:fill="auto"/>
            <w:noWrap/>
            <w:vAlign w:val="bottom"/>
          </w:tcPr>
          <w:p w14:paraId="59C2306F" w14:textId="77777777" w:rsidR="00E27291" w:rsidRPr="007D2517" w:rsidRDefault="00E27291" w:rsidP="00E27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5 371 666</w:t>
            </w:r>
          </w:p>
        </w:tc>
      </w:tr>
      <w:tr w:rsidR="007D2517" w:rsidRPr="007D2517" w14:paraId="24B1EC50" w14:textId="77777777" w:rsidTr="000B70E9">
        <w:trPr>
          <w:trHeight w:val="255"/>
        </w:trPr>
        <w:tc>
          <w:tcPr>
            <w:tcW w:w="428" w:type="pct"/>
            <w:shd w:val="clear" w:color="CCCCFF" w:fill="E6E6E6"/>
            <w:noWrap/>
            <w:vAlign w:val="bottom"/>
          </w:tcPr>
          <w:p w14:paraId="7BFEFA17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82" w:type="pct"/>
            <w:shd w:val="clear" w:color="CCCCFF" w:fill="E6E6E6"/>
            <w:noWrap/>
            <w:vAlign w:val="bottom"/>
          </w:tcPr>
          <w:p w14:paraId="7FCD42D5" w14:textId="77777777" w:rsidR="007D2517" w:rsidRPr="007D2517" w:rsidRDefault="007D2517" w:rsidP="007D251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Ведомствени разходи по други бюджети и сметки за средства от ЕС </w:t>
            </w:r>
          </w:p>
        </w:tc>
        <w:tc>
          <w:tcPr>
            <w:tcW w:w="640" w:type="pct"/>
            <w:shd w:val="clear" w:color="CCCCFF" w:fill="E6E6E6"/>
            <w:noWrap/>
            <w:vAlign w:val="bottom"/>
          </w:tcPr>
          <w:p w14:paraId="0089D69A" w14:textId="77777777" w:rsidR="007D2517" w:rsidRPr="007D2517" w:rsidRDefault="00245BDB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2 794 000</w:t>
            </w:r>
          </w:p>
        </w:tc>
        <w:tc>
          <w:tcPr>
            <w:tcW w:w="662" w:type="pct"/>
            <w:shd w:val="clear" w:color="CCCCFF" w:fill="E6E6E6"/>
            <w:noWrap/>
            <w:vAlign w:val="bottom"/>
          </w:tcPr>
          <w:p w14:paraId="42FA70BE" w14:textId="77777777" w:rsidR="007D2517" w:rsidRPr="00F60237" w:rsidRDefault="00E2729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E272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4 856 693</w:t>
            </w:r>
          </w:p>
        </w:tc>
        <w:tc>
          <w:tcPr>
            <w:tcW w:w="588" w:type="pct"/>
            <w:shd w:val="clear" w:color="CCCCFF" w:fill="E6E6E6"/>
            <w:noWrap/>
            <w:vAlign w:val="bottom"/>
          </w:tcPr>
          <w:p w14:paraId="1CC3F59B" w14:textId="77777777" w:rsidR="007D2517" w:rsidRPr="007D2517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6 375 381</w:t>
            </w:r>
          </w:p>
        </w:tc>
      </w:tr>
      <w:tr w:rsidR="007D2517" w:rsidRPr="007D2517" w14:paraId="2FF6E4C7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58C38AF5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60B6C74C" w14:textId="77777777" w:rsidR="007D2517" w:rsidRPr="007D2517" w:rsidRDefault="007D2517" w:rsidP="007D251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Персонал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5F0896D5" w14:textId="77777777" w:rsidR="007D2517" w:rsidRPr="007D2517" w:rsidRDefault="00245BDB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2 744 000</w:t>
            </w: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678F5C9E" w14:textId="77777777" w:rsidR="007D2517" w:rsidRPr="007D2517" w:rsidRDefault="00E2729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3 159 156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01E1012E" w14:textId="77777777" w:rsidR="007D2517" w:rsidRPr="007D2517" w:rsidRDefault="00691648" w:rsidP="00037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3 361 829</w:t>
            </w:r>
          </w:p>
        </w:tc>
      </w:tr>
      <w:tr w:rsidR="007D2517" w:rsidRPr="007D2517" w14:paraId="4C39DE8A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2DB3806F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5A530082" w14:textId="77777777" w:rsidR="007D2517" w:rsidRPr="007D2517" w:rsidRDefault="007D2517" w:rsidP="007D251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Издръжка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3D47616E" w14:textId="77777777" w:rsidR="007D2517" w:rsidRPr="007D2517" w:rsidRDefault="0037440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76718981" w14:textId="77777777" w:rsidR="007D2517" w:rsidRPr="007D2517" w:rsidRDefault="00E2729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1 697 537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7CB5242D" w14:textId="77777777" w:rsidR="007D2517" w:rsidRPr="007D2517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1 707 900</w:t>
            </w:r>
          </w:p>
        </w:tc>
      </w:tr>
      <w:tr w:rsidR="007D2517" w:rsidRPr="007D2517" w14:paraId="0D2A83A3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631B2847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23E504F6" w14:textId="77777777" w:rsidR="007D2517" w:rsidRPr="007D2517" w:rsidRDefault="007D2517" w:rsidP="007D2517">
            <w:pPr>
              <w:spacing w:after="0" w:line="240" w:lineRule="auto"/>
              <w:ind w:firstLineChars="300" w:firstLine="5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Капиталови разходи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23FC0AB0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1732DA0E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14E415F1" w14:textId="77777777" w:rsidR="007D2517" w:rsidRPr="007D2517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1 305 652</w:t>
            </w:r>
          </w:p>
        </w:tc>
      </w:tr>
      <w:tr w:rsidR="007D2517" w:rsidRPr="007D2517" w14:paraId="2D93A945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3308C9D3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733373AC" w14:textId="77777777" w:rsidR="007D2517" w:rsidRPr="007D2517" w:rsidRDefault="007D2517" w:rsidP="007D251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 тях за: * 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17E98D64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75E1EB33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7708F45E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2517" w:rsidRPr="00267353" w14:paraId="59567AB9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14D17DEE" w14:textId="77777777" w:rsidR="007D2517" w:rsidRPr="00267353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353">
              <w:rPr>
                <w:rFonts w:ascii="Times New Roman" w:eastAsia="Times New Roman" w:hAnsi="Times New Roman" w:cs="Times New Roman"/>
                <w:sz w:val="18"/>
                <w:szCs w:val="18"/>
              </w:rPr>
              <w:t> 2.1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43D8E056" w14:textId="77777777" w:rsidR="007D2517" w:rsidRPr="00267353" w:rsidRDefault="007A1656" w:rsidP="007D2517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3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Pr="00267353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Проекти ГРАНТ с Евростат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72232B04" w14:textId="77777777" w:rsidR="007D2517" w:rsidRPr="00267353" w:rsidRDefault="00B51786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353">
              <w:rPr>
                <w:rFonts w:ascii="Times New Roman" w:eastAsia="Times New Roman" w:hAnsi="Times New Roman" w:cs="Times New Roman"/>
                <w:sz w:val="18"/>
                <w:szCs w:val="18"/>
              </w:rPr>
              <w:t>2 794 000</w:t>
            </w:r>
            <w:r w:rsidR="007D2517" w:rsidRPr="00267353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4A36283F" w14:textId="77777777" w:rsidR="007D2517" w:rsidRPr="00267353" w:rsidRDefault="00E2729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4 856 693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1AB2D307" w14:textId="77777777" w:rsidR="007D2517" w:rsidRPr="00267353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4 856 693</w:t>
            </w:r>
          </w:p>
        </w:tc>
      </w:tr>
      <w:tr w:rsidR="007D2517" w:rsidRPr="007D2517" w14:paraId="0CE1906F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65AEFA79" w14:textId="77777777" w:rsidR="007D2517" w:rsidRPr="00267353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353">
              <w:rPr>
                <w:rFonts w:ascii="Times New Roman" w:eastAsia="Times New Roman" w:hAnsi="Times New Roman" w:cs="Times New Roman"/>
                <w:sz w:val="18"/>
                <w:szCs w:val="18"/>
              </w:rPr>
              <w:t> 2.2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04CBEA0C" w14:textId="77777777" w:rsidR="007D2517" w:rsidRPr="00267353" w:rsidRDefault="007A1656" w:rsidP="007D2517">
            <w:pPr>
              <w:spacing w:after="0" w:line="240" w:lineRule="auto"/>
              <w:ind w:firstLineChars="500" w:firstLine="9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735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267353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. Проект финансиран от ФМ на ЕИП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1DDE8C07" w14:textId="77777777" w:rsidR="007D2517" w:rsidRPr="00267353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7DAEAED3" w14:textId="77777777" w:rsidR="007D2517" w:rsidRPr="00267353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3175BD07" w14:textId="77777777" w:rsidR="007D2517" w:rsidRPr="00267353" w:rsidRDefault="00691648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1 518 688</w:t>
            </w:r>
          </w:p>
        </w:tc>
      </w:tr>
      <w:tr w:rsidR="007D2517" w:rsidRPr="007D2517" w14:paraId="03662AFB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446EB277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65C14549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428BFB5A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0F3692E0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3BAD536C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2517" w:rsidRPr="007D2517" w14:paraId="5C4E68DE" w14:textId="77777777" w:rsidTr="000B70E9">
        <w:trPr>
          <w:trHeight w:val="255"/>
        </w:trPr>
        <w:tc>
          <w:tcPr>
            <w:tcW w:w="428" w:type="pct"/>
            <w:shd w:val="clear" w:color="CCCCFF" w:fill="E6E6E6"/>
            <w:noWrap/>
            <w:vAlign w:val="bottom"/>
          </w:tcPr>
          <w:p w14:paraId="018BA35F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ІІ.</w:t>
            </w:r>
          </w:p>
        </w:tc>
        <w:tc>
          <w:tcPr>
            <w:tcW w:w="2682" w:type="pct"/>
            <w:shd w:val="clear" w:color="CCCCFF" w:fill="E6E6E6"/>
            <w:noWrap/>
            <w:vAlign w:val="bottom"/>
          </w:tcPr>
          <w:p w14:paraId="6507323A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Администрирани разходни параграфи по бюджета </w:t>
            </w: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640" w:type="pct"/>
            <w:shd w:val="clear" w:color="CCCCFF" w:fill="E6E6E6"/>
            <w:noWrap/>
            <w:vAlign w:val="bottom"/>
          </w:tcPr>
          <w:p w14:paraId="601EB62F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shd w:val="clear" w:color="CCCCFF" w:fill="E6E6E6"/>
            <w:noWrap/>
            <w:vAlign w:val="bottom"/>
          </w:tcPr>
          <w:p w14:paraId="15400996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pct"/>
            <w:shd w:val="clear" w:color="CCCCFF" w:fill="E6E6E6"/>
            <w:noWrap/>
            <w:vAlign w:val="bottom"/>
          </w:tcPr>
          <w:p w14:paraId="54BC712B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2517" w:rsidRPr="007D2517" w14:paraId="1F67ED99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4719FC37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ІІІ.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4AEDB594" w14:textId="77777777" w:rsidR="007D2517" w:rsidRPr="002C457D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C45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Администрирани разходни параграфи по други бюджети и сметки за средства от ЕС</w:t>
            </w:r>
            <w:r w:rsidRPr="002C457D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2C457D">
              <w:rPr>
                <w:rFonts w:ascii="Times New Roman" w:eastAsia="Times New Roman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1C5BC250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073A3ED9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6089BEC1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2517" w:rsidRPr="007D2517" w14:paraId="4CB442DF" w14:textId="77777777" w:rsidTr="000B70E9">
        <w:trPr>
          <w:trHeight w:val="255"/>
        </w:trPr>
        <w:tc>
          <w:tcPr>
            <w:tcW w:w="428" w:type="pct"/>
            <w:shd w:val="clear" w:color="CCCCFF" w:fill="E6E6E6"/>
            <w:noWrap/>
            <w:vAlign w:val="bottom"/>
          </w:tcPr>
          <w:p w14:paraId="7112C73E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CCCCFF" w:fill="E6E6E6"/>
            <w:noWrap/>
            <w:vAlign w:val="bottom"/>
          </w:tcPr>
          <w:p w14:paraId="78728C5B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Общо администрирани разходи (ІІ+ІІІ):</w:t>
            </w:r>
          </w:p>
        </w:tc>
        <w:tc>
          <w:tcPr>
            <w:tcW w:w="640" w:type="pct"/>
            <w:shd w:val="clear" w:color="CCCCFF" w:fill="E6E6E6"/>
            <w:noWrap/>
            <w:vAlign w:val="bottom"/>
          </w:tcPr>
          <w:p w14:paraId="5D7F828E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62" w:type="pct"/>
            <w:shd w:val="clear" w:color="CCCCFF" w:fill="E6E6E6"/>
            <w:noWrap/>
            <w:vAlign w:val="bottom"/>
          </w:tcPr>
          <w:p w14:paraId="7FC07965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8" w:type="pct"/>
            <w:shd w:val="clear" w:color="CCCCFF" w:fill="E6E6E6"/>
            <w:noWrap/>
            <w:vAlign w:val="bottom"/>
          </w:tcPr>
          <w:p w14:paraId="15FE028B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D2517" w:rsidRPr="007D2517" w14:paraId="165DCB6B" w14:textId="77777777" w:rsidTr="000B70E9">
        <w:trPr>
          <w:trHeight w:val="119"/>
        </w:trPr>
        <w:tc>
          <w:tcPr>
            <w:tcW w:w="428" w:type="pct"/>
            <w:shd w:val="clear" w:color="auto" w:fill="auto"/>
            <w:noWrap/>
            <w:vAlign w:val="bottom"/>
          </w:tcPr>
          <w:p w14:paraId="3A763D94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65252510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5D0BCFE5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2933726A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35B90767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2517" w:rsidRPr="007D2517" w14:paraId="16B8A466" w14:textId="77777777" w:rsidTr="000B70E9">
        <w:trPr>
          <w:trHeight w:val="255"/>
        </w:trPr>
        <w:tc>
          <w:tcPr>
            <w:tcW w:w="428" w:type="pct"/>
            <w:shd w:val="clear" w:color="CCCCFF" w:fill="E6E6E6"/>
            <w:noWrap/>
            <w:vAlign w:val="bottom"/>
          </w:tcPr>
          <w:p w14:paraId="275188E9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CCCCFF" w:fill="E6E6E6"/>
            <w:noWrap/>
            <w:vAlign w:val="bottom"/>
          </w:tcPr>
          <w:p w14:paraId="7DFE1F98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Общо разходи по бюджета (І.1+ІІ):</w:t>
            </w:r>
          </w:p>
        </w:tc>
        <w:tc>
          <w:tcPr>
            <w:tcW w:w="640" w:type="pct"/>
            <w:shd w:val="clear" w:color="CCCCFF" w:fill="E6E6E6"/>
            <w:noWrap/>
            <w:vAlign w:val="bottom"/>
          </w:tcPr>
          <w:p w14:paraId="190EF8F7" w14:textId="77777777" w:rsidR="007D2517" w:rsidRPr="007D2517" w:rsidRDefault="00317682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46 101 000</w:t>
            </w:r>
          </w:p>
        </w:tc>
        <w:tc>
          <w:tcPr>
            <w:tcW w:w="662" w:type="pct"/>
            <w:shd w:val="clear" w:color="CCCCFF" w:fill="E6E6E6"/>
            <w:noWrap/>
            <w:vAlign w:val="bottom"/>
          </w:tcPr>
          <w:p w14:paraId="6E71E130" w14:textId="77777777" w:rsidR="007D2517" w:rsidRPr="007D2517" w:rsidRDefault="00317682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46 196 624</w:t>
            </w:r>
          </w:p>
        </w:tc>
        <w:tc>
          <w:tcPr>
            <w:tcW w:w="588" w:type="pct"/>
            <w:shd w:val="clear" w:color="CCCCFF" w:fill="E6E6E6"/>
            <w:noWrap/>
            <w:vAlign w:val="bottom"/>
          </w:tcPr>
          <w:p w14:paraId="21D8D6E4" w14:textId="77777777" w:rsidR="007D2517" w:rsidRPr="007D2517" w:rsidRDefault="00FD1E55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45 543 610</w:t>
            </w:r>
          </w:p>
        </w:tc>
      </w:tr>
      <w:tr w:rsidR="007D2517" w:rsidRPr="007D2517" w14:paraId="2C20BC8C" w14:textId="77777777" w:rsidTr="000B70E9">
        <w:trPr>
          <w:trHeight w:val="96"/>
        </w:trPr>
        <w:tc>
          <w:tcPr>
            <w:tcW w:w="428" w:type="pct"/>
            <w:shd w:val="clear" w:color="auto" w:fill="auto"/>
            <w:noWrap/>
            <w:vAlign w:val="bottom"/>
          </w:tcPr>
          <w:p w14:paraId="4487A00A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2213884F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62610F05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408A283B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0F362B1D" w14:textId="77777777" w:rsidR="007D2517" w:rsidRPr="007D2517" w:rsidRDefault="007D2517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D2517" w:rsidRPr="007D2517" w14:paraId="46C91FE2" w14:textId="77777777" w:rsidTr="000B70E9">
        <w:trPr>
          <w:trHeight w:val="255"/>
        </w:trPr>
        <w:tc>
          <w:tcPr>
            <w:tcW w:w="428" w:type="pct"/>
            <w:shd w:val="clear" w:color="CCCCFF" w:fill="E6E6E6"/>
            <w:noWrap/>
            <w:vAlign w:val="bottom"/>
          </w:tcPr>
          <w:p w14:paraId="7EEE057F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CCCCFF" w:fill="E6E6E6"/>
            <w:noWrap/>
            <w:vAlign w:val="bottom"/>
          </w:tcPr>
          <w:p w14:paraId="0C55D3A6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Общо разходи (І+ІІ+ІІІ):</w:t>
            </w:r>
          </w:p>
        </w:tc>
        <w:tc>
          <w:tcPr>
            <w:tcW w:w="640" w:type="pct"/>
            <w:shd w:val="clear" w:color="CCCCFF" w:fill="E6E6E6"/>
            <w:noWrap/>
            <w:vAlign w:val="bottom"/>
          </w:tcPr>
          <w:p w14:paraId="53A53A2E" w14:textId="77777777" w:rsidR="007D2517" w:rsidRPr="007D2517" w:rsidRDefault="006A1E9D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48 895 000</w:t>
            </w:r>
          </w:p>
        </w:tc>
        <w:tc>
          <w:tcPr>
            <w:tcW w:w="662" w:type="pct"/>
            <w:shd w:val="clear" w:color="CCCCFF" w:fill="E6E6E6"/>
            <w:noWrap/>
            <w:vAlign w:val="bottom"/>
          </w:tcPr>
          <w:p w14:paraId="04B5DD5E" w14:textId="77777777" w:rsidR="007D2517" w:rsidRPr="007D2517" w:rsidRDefault="00FD1E55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51 053 317</w:t>
            </w:r>
          </w:p>
        </w:tc>
        <w:tc>
          <w:tcPr>
            <w:tcW w:w="588" w:type="pct"/>
            <w:shd w:val="clear" w:color="CCCCFF" w:fill="E6E6E6"/>
            <w:noWrap/>
            <w:vAlign w:val="bottom"/>
          </w:tcPr>
          <w:p w14:paraId="4FFA0CC7" w14:textId="77777777" w:rsidR="007D2517" w:rsidRPr="007D2517" w:rsidRDefault="00FD1E55" w:rsidP="00A07A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51 918 991</w:t>
            </w:r>
          </w:p>
        </w:tc>
      </w:tr>
      <w:tr w:rsidR="007D2517" w:rsidRPr="007D2517" w14:paraId="266C6488" w14:textId="77777777" w:rsidTr="000B70E9">
        <w:trPr>
          <w:trHeight w:val="255"/>
        </w:trPr>
        <w:tc>
          <w:tcPr>
            <w:tcW w:w="428" w:type="pct"/>
            <w:shd w:val="clear" w:color="auto" w:fill="auto"/>
            <w:noWrap/>
            <w:vAlign w:val="bottom"/>
          </w:tcPr>
          <w:p w14:paraId="2CD90907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1D3C28E9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Численост на щатния персонал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27FA448B" w14:textId="77777777" w:rsidR="007D2517" w:rsidRPr="007D2517" w:rsidRDefault="003A03E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4724506D" w14:textId="77777777" w:rsidR="007D2517" w:rsidRPr="007D2517" w:rsidRDefault="003A03E1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968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572E4DD2" w14:textId="77777777" w:rsidR="007D2517" w:rsidRPr="007D2517" w:rsidRDefault="003A03E1" w:rsidP="00956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  <w:r w:rsidR="0095605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D2517" w:rsidRPr="007D2517" w14:paraId="3A10A2D4" w14:textId="77777777" w:rsidTr="000B70E9">
        <w:trPr>
          <w:trHeight w:val="270"/>
        </w:trPr>
        <w:tc>
          <w:tcPr>
            <w:tcW w:w="428" w:type="pct"/>
            <w:shd w:val="clear" w:color="auto" w:fill="auto"/>
            <w:noWrap/>
            <w:vAlign w:val="bottom"/>
          </w:tcPr>
          <w:p w14:paraId="275976D2" w14:textId="77777777" w:rsidR="007D2517" w:rsidRPr="007D2517" w:rsidRDefault="007D2517" w:rsidP="007D2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682" w:type="pct"/>
            <w:shd w:val="clear" w:color="auto" w:fill="auto"/>
            <w:noWrap/>
            <w:vAlign w:val="bottom"/>
          </w:tcPr>
          <w:p w14:paraId="2E301FB8" w14:textId="77777777" w:rsidR="007D2517" w:rsidRPr="007D2517" w:rsidRDefault="007D2517" w:rsidP="007D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2517">
              <w:rPr>
                <w:rFonts w:ascii="Times New Roman" w:eastAsia="Times New Roman" w:hAnsi="Times New Roman" w:cs="Times New Roman"/>
                <w:sz w:val="18"/>
                <w:szCs w:val="18"/>
              </w:rPr>
              <w:t>Численост на извънщатния персонал</w:t>
            </w:r>
          </w:p>
        </w:tc>
        <w:tc>
          <w:tcPr>
            <w:tcW w:w="640" w:type="pct"/>
            <w:shd w:val="clear" w:color="auto" w:fill="auto"/>
            <w:noWrap/>
            <w:vAlign w:val="bottom"/>
          </w:tcPr>
          <w:p w14:paraId="073DAFFC" w14:textId="77777777" w:rsidR="007D2517" w:rsidRPr="001575CC" w:rsidRDefault="001575CC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662" w:type="pct"/>
            <w:shd w:val="clear" w:color="auto" w:fill="auto"/>
            <w:noWrap/>
            <w:vAlign w:val="bottom"/>
          </w:tcPr>
          <w:p w14:paraId="64951DBA" w14:textId="77777777" w:rsidR="007D2517" w:rsidRPr="001575CC" w:rsidRDefault="001575CC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588" w:type="pct"/>
            <w:shd w:val="clear" w:color="auto" w:fill="auto"/>
            <w:noWrap/>
            <w:vAlign w:val="bottom"/>
          </w:tcPr>
          <w:p w14:paraId="47A257D7" w14:textId="77777777" w:rsidR="007D2517" w:rsidRPr="001575CC" w:rsidRDefault="001575CC" w:rsidP="007D2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</w:tr>
    </w:tbl>
    <w:p w14:paraId="2B43830C" w14:textId="77777777" w:rsidR="007D2517" w:rsidRPr="007D2517" w:rsidRDefault="007D2517" w:rsidP="007D251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0729A4" w14:textId="77777777" w:rsidR="007D2517" w:rsidRDefault="007D2517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5D560F5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5F54B75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E5C80AD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C13707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68DAA3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9889EA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BEFA2AA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400045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57067F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AA10F28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CF33EA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B0795AA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D0565C2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1DBCDC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E327A7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3750271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AEB7B8B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6EF832D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881C9B" w14:textId="77777777" w:rsidR="00F40B5D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BE3630" w14:textId="77777777" w:rsidR="00F40B5D" w:rsidRPr="007D2517" w:rsidRDefault="00F40B5D" w:rsidP="007D25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13174AD" w14:textId="77777777" w:rsidR="009C059F" w:rsidRPr="009C059F" w:rsidRDefault="009C059F" w:rsidP="009C059F">
      <w:pPr>
        <w:spacing w:after="0" w:line="240" w:lineRule="auto"/>
        <w:jc w:val="both"/>
        <w:rPr>
          <w:rFonts w:ascii="Times New Roman" w:hAnsi="Times New Roman"/>
          <w:b/>
        </w:rPr>
      </w:pPr>
      <w:r w:rsidRPr="009C059F">
        <w:rPr>
          <w:rFonts w:ascii="Times New Roman" w:hAnsi="Times New Roman"/>
          <w:b/>
        </w:rPr>
        <w:lastRenderedPageBreak/>
        <w:t>Справка за разходите по области на политики/функционални области и бюджетни програми, утвърдени със ЗДБРБ за 2025 г. към 3</w:t>
      </w:r>
      <w:r w:rsidR="00F60237">
        <w:rPr>
          <w:rFonts w:ascii="Times New Roman" w:hAnsi="Times New Roman"/>
          <w:b/>
        </w:rPr>
        <w:t>1.12</w:t>
      </w:r>
      <w:r w:rsidRPr="009C059F">
        <w:rPr>
          <w:rFonts w:ascii="Times New Roman" w:hAnsi="Times New Roman"/>
          <w:b/>
        </w:rPr>
        <w:t>.2025 г. по бюджета на Национален статистически институт</w:t>
      </w:r>
    </w:p>
    <w:p w14:paraId="4155F540" w14:textId="77777777" w:rsidR="009C059F" w:rsidRPr="006C56B0" w:rsidRDefault="009C059F" w:rsidP="009C059F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5015"/>
        <w:gridCol w:w="1333"/>
        <w:gridCol w:w="1232"/>
        <w:gridCol w:w="1210"/>
      </w:tblGrid>
      <w:tr w:rsidR="009C059F" w:rsidRPr="006C56B0" w14:paraId="5D7C576A" w14:textId="77777777" w:rsidTr="009C059F">
        <w:tc>
          <w:tcPr>
            <w:tcW w:w="414" w:type="dxa"/>
            <w:vMerge w:val="restart"/>
            <w:shd w:val="clear" w:color="auto" w:fill="E6E6E6"/>
            <w:vAlign w:val="center"/>
          </w:tcPr>
          <w:p w14:paraId="19AE8161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</w:tc>
        <w:tc>
          <w:tcPr>
            <w:tcW w:w="5015" w:type="dxa"/>
            <w:vMerge w:val="restart"/>
            <w:shd w:val="clear" w:color="auto" w:fill="E6E6E6"/>
            <w:vAlign w:val="center"/>
          </w:tcPr>
          <w:p w14:paraId="56A613A5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Наименование на областта на политика/функционалната област/бюджетната програма</w:t>
            </w:r>
          </w:p>
        </w:tc>
        <w:tc>
          <w:tcPr>
            <w:tcW w:w="3775" w:type="dxa"/>
            <w:gridSpan w:val="3"/>
            <w:shd w:val="clear" w:color="auto" w:fill="E6E6E6"/>
            <w:vAlign w:val="center"/>
          </w:tcPr>
          <w:p w14:paraId="3C4C7DA1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Разходи (в хил. лв.)</w:t>
            </w:r>
          </w:p>
        </w:tc>
      </w:tr>
      <w:tr w:rsidR="009C059F" w:rsidRPr="006C56B0" w14:paraId="670ED885" w14:textId="77777777" w:rsidTr="009C059F">
        <w:tc>
          <w:tcPr>
            <w:tcW w:w="414" w:type="dxa"/>
            <w:vMerge/>
            <w:shd w:val="clear" w:color="auto" w:fill="E6E6E6"/>
          </w:tcPr>
          <w:p w14:paraId="063253C1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15" w:type="dxa"/>
            <w:vMerge/>
            <w:shd w:val="clear" w:color="auto" w:fill="E6E6E6"/>
          </w:tcPr>
          <w:p w14:paraId="53C3C936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E6E6E6"/>
            <w:vAlign w:val="center"/>
          </w:tcPr>
          <w:p w14:paraId="190AFC01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Закон</w:t>
            </w:r>
          </w:p>
        </w:tc>
        <w:tc>
          <w:tcPr>
            <w:tcW w:w="1232" w:type="dxa"/>
            <w:shd w:val="clear" w:color="auto" w:fill="E6E6E6"/>
            <w:vAlign w:val="center"/>
          </w:tcPr>
          <w:p w14:paraId="55726E9B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Уточнен</w:t>
            </w:r>
          </w:p>
          <w:p w14:paraId="220A0BA6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1210" w:type="dxa"/>
            <w:shd w:val="clear" w:color="auto" w:fill="E6E6E6"/>
            <w:vAlign w:val="center"/>
          </w:tcPr>
          <w:p w14:paraId="766DA2E3" w14:textId="77777777" w:rsidR="009C059F" w:rsidRPr="006C56B0" w:rsidRDefault="009C059F" w:rsidP="000F7D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Отчет</w:t>
            </w:r>
          </w:p>
        </w:tc>
      </w:tr>
      <w:tr w:rsidR="009C059F" w:rsidRPr="006C56B0" w14:paraId="1FC96D30" w14:textId="77777777" w:rsidTr="009C059F">
        <w:tc>
          <w:tcPr>
            <w:tcW w:w="414" w:type="dxa"/>
            <w:shd w:val="clear" w:color="auto" w:fill="auto"/>
          </w:tcPr>
          <w:p w14:paraId="3F956279" w14:textId="77777777" w:rsidR="009C059F" w:rsidRPr="006C56B0" w:rsidRDefault="009C059F" w:rsidP="009C05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6B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015" w:type="dxa"/>
            <w:shd w:val="clear" w:color="auto" w:fill="auto"/>
          </w:tcPr>
          <w:p w14:paraId="60EF94F8" w14:textId="77777777" w:rsidR="009C059F" w:rsidRPr="00CC344E" w:rsidRDefault="009C059F" w:rsidP="009C05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4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Функционална област„ Безпристрастна, обективна, навременна и точна информация за състоянието на Република България“</w:t>
            </w:r>
          </w:p>
        </w:tc>
        <w:tc>
          <w:tcPr>
            <w:tcW w:w="1333" w:type="dxa"/>
            <w:shd w:val="clear" w:color="auto" w:fill="auto"/>
            <w:vAlign w:val="bottom"/>
          </w:tcPr>
          <w:p w14:paraId="6232E634" w14:textId="77777777" w:rsidR="009C059F" w:rsidRPr="00CC344E" w:rsidRDefault="009C059F" w:rsidP="008961C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C344E">
              <w:rPr>
                <w:rFonts w:ascii="Times New Roman" w:hAnsi="Times New Roman"/>
                <w:sz w:val="18"/>
                <w:szCs w:val="18"/>
              </w:rPr>
              <w:t>46</w:t>
            </w:r>
            <w:r w:rsidR="008961CC">
              <w:rPr>
                <w:rFonts w:ascii="Times New Roman" w:hAnsi="Times New Roman"/>
                <w:sz w:val="18"/>
                <w:szCs w:val="18"/>
              </w:rPr>
              <w:t> </w:t>
            </w:r>
            <w:r w:rsidRPr="00CC344E">
              <w:rPr>
                <w:rFonts w:ascii="Times New Roman" w:hAnsi="Times New Roman"/>
                <w:sz w:val="18"/>
                <w:szCs w:val="18"/>
              </w:rPr>
              <w:t>101</w:t>
            </w:r>
            <w:r w:rsidR="008961CC">
              <w:rPr>
                <w:rFonts w:ascii="Times New Roman" w:hAnsi="Times New Roman"/>
                <w:sz w:val="18"/>
                <w:szCs w:val="18"/>
              </w:rPr>
              <w:t>,</w:t>
            </w:r>
            <w:r w:rsidRPr="00CC344E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232" w:type="dxa"/>
            <w:shd w:val="clear" w:color="auto" w:fill="auto"/>
            <w:vAlign w:val="bottom"/>
          </w:tcPr>
          <w:p w14:paraId="55B6393F" w14:textId="77777777" w:rsidR="009C059F" w:rsidRPr="00CC344E" w:rsidRDefault="009C059F" w:rsidP="008961C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  <w:r w:rsidR="008961CC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196</w:t>
            </w:r>
            <w:r w:rsidR="008961C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4ABF165B" w14:textId="77777777" w:rsidR="009C059F" w:rsidRPr="00CC344E" w:rsidRDefault="00F60237" w:rsidP="008961C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45 543,6</w:t>
            </w:r>
          </w:p>
        </w:tc>
      </w:tr>
      <w:tr w:rsidR="009C059F" w:rsidRPr="006C56B0" w14:paraId="20038C71" w14:textId="77777777" w:rsidTr="009C059F">
        <w:tc>
          <w:tcPr>
            <w:tcW w:w="414" w:type="dxa"/>
            <w:shd w:val="clear" w:color="auto" w:fill="auto"/>
          </w:tcPr>
          <w:p w14:paraId="0D6E92E6" w14:textId="77777777" w:rsidR="009C059F" w:rsidRPr="006C56B0" w:rsidRDefault="009C059F" w:rsidP="009C05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auto"/>
          </w:tcPr>
          <w:p w14:paraId="66062777" w14:textId="77777777" w:rsidR="009C059F" w:rsidRPr="006C56B0" w:rsidRDefault="009C059F" w:rsidP="009C05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C34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Бюджетна програма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„</w:t>
            </w:r>
            <w:r w:rsidRPr="00CC344E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ционална статистическа програма“</w:t>
            </w:r>
          </w:p>
        </w:tc>
        <w:tc>
          <w:tcPr>
            <w:tcW w:w="1333" w:type="dxa"/>
            <w:shd w:val="clear" w:color="auto" w:fill="auto"/>
            <w:vAlign w:val="bottom"/>
          </w:tcPr>
          <w:p w14:paraId="1524FCFD" w14:textId="77777777" w:rsidR="009C059F" w:rsidRPr="00CC344E" w:rsidRDefault="008961CC" w:rsidP="009C05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C344E">
              <w:rPr>
                <w:rFonts w:ascii="Times New Roman" w:hAnsi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C344E">
              <w:rPr>
                <w:rFonts w:ascii="Times New Roman" w:hAnsi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C344E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232" w:type="dxa"/>
            <w:shd w:val="clear" w:color="auto" w:fill="auto"/>
            <w:vAlign w:val="bottom"/>
          </w:tcPr>
          <w:p w14:paraId="470A39F2" w14:textId="77777777" w:rsidR="009C059F" w:rsidRPr="00CC344E" w:rsidRDefault="008961CC" w:rsidP="009C05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46 196, 6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6E5DD00E" w14:textId="77777777" w:rsidR="009C059F" w:rsidRPr="00CC344E" w:rsidRDefault="00F60237" w:rsidP="009C05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0237">
              <w:rPr>
                <w:rFonts w:ascii="Times New Roman" w:hAnsi="Times New Roman"/>
                <w:sz w:val="18"/>
                <w:szCs w:val="18"/>
              </w:rPr>
              <w:t>45 543,6</w:t>
            </w:r>
          </w:p>
        </w:tc>
      </w:tr>
      <w:tr w:rsidR="009C059F" w:rsidRPr="006C56B0" w14:paraId="27C43AD2" w14:textId="77777777" w:rsidTr="009C059F">
        <w:tc>
          <w:tcPr>
            <w:tcW w:w="414" w:type="dxa"/>
            <w:shd w:val="clear" w:color="auto" w:fill="auto"/>
          </w:tcPr>
          <w:p w14:paraId="432F9F7F" w14:textId="77777777" w:rsidR="009C059F" w:rsidRPr="006C56B0" w:rsidRDefault="009C059F" w:rsidP="009C05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5" w:type="dxa"/>
            <w:shd w:val="clear" w:color="auto" w:fill="auto"/>
          </w:tcPr>
          <w:p w14:paraId="150699D0" w14:textId="77777777" w:rsidR="009C059F" w:rsidRPr="00CC344E" w:rsidRDefault="009C059F" w:rsidP="009C059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56B0">
              <w:rPr>
                <w:rFonts w:ascii="Times New Roman" w:hAnsi="Times New Roman"/>
                <w:b/>
                <w:sz w:val="18"/>
                <w:szCs w:val="18"/>
              </w:rPr>
              <w:t>ОБЩО:</w:t>
            </w:r>
          </w:p>
        </w:tc>
        <w:tc>
          <w:tcPr>
            <w:tcW w:w="1333" w:type="dxa"/>
            <w:shd w:val="clear" w:color="auto" w:fill="auto"/>
            <w:vAlign w:val="bottom"/>
          </w:tcPr>
          <w:p w14:paraId="39478FC3" w14:textId="77777777" w:rsidR="009C059F" w:rsidRPr="00CC344E" w:rsidRDefault="008961CC" w:rsidP="009C05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C344E">
              <w:rPr>
                <w:rFonts w:ascii="Times New Roman" w:hAnsi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CC344E">
              <w:rPr>
                <w:rFonts w:ascii="Times New Roman" w:hAnsi="Times New Roman"/>
                <w:sz w:val="18"/>
                <w:szCs w:val="18"/>
              </w:rPr>
              <w:t>101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CC344E">
              <w:rPr>
                <w:rFonts w:ascii="Times New Roman" w:hAnsi="Times New Roman"/>
                <w:sz w:val="18"/>
                <w:szCs w:val="18"/>
              </w:rPr>
              <w:t xml:space="preserve"> 0</w:t>
            </w:r>
          </w:p>
        </w:tc>
        <w:tc>
          <w:tcPr>
            <w:tcW w:w="1232" w:type="dxa"/>
            <w:shd w:val="clear" w:color="auto" w:fill="auto"/>
            <w:vAlign w:val="bottom"/>
          </w:tcPr>
          <w:p w14:paraId="09630575" w14:textId="77777777" w:rsidR="009C059F" w:rsidRPr="00CC344E" w:rsidRDefault="008961CC" w:rsidP="009C05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46 196, 6</w:t>
            </w:r>
          </w:p>
        </w:tc>
        <w:tc>
          <w:tcPr>
            <w:tcW w:w="1210" w:type="dxa"/>
            <w:shd w:val="clear" w:color="auto" w:fill="auto"/>
            <w:vAlign w:val="bottom"/>
          </w:tcPr>
          <w:p w14:paraId="36D51646" w14:textId="77777777" w:rsidR="009C059F" w:rsidRPr="00CC344E" w:rsidRDefault="00F60237" w:rsidP="009C059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60237">
              <w:rPr>
                <w:rFonts w:ascii="Times New Roman" w:hAnsi="Times New Roman"/>
                <w:sz w:val="18"/>
                <w:szCs w:val="18"/>
              </w:rPr>
              <w:t>45 543,6</w:t>
            </w:r>
          </w:p>
        </w:tc>
      </w:tr>
    </w:tbl>
    <w:p w14:paraId="2E115764" w14:textId="77777777" w:rsidR="00CC344E" w:rsidRPr="009C059F" w:rsidRDefault="00CC344E" w:rsidP="007D25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A526DA5" w14:textId="77777777" w:rsidR="00CC344E" w:rsidRPr="009C059F" w:rsidRDefault="00CC344E" w:rsidP="007D25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45365E" w14:textId="77777777" w:rsidR="00CC344E" w:rsidRPr="009C059F" w:rsidRDefault="00CC344E" w:rsidP="007D25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43B5C6" w14:textId="77777777" w:rsidR="00CC344E" w:rsidRPr="009C059F" w:rsidRDefault="00CC344E" w:rsidP="007D25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1A15010" w14:textId="77777777" w:rsidR="00CC344E" w:rsidRPr="009C059F" w:rsidRDefault="00CC344E" w:rsidP="007D25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893534" w14:textId="77777777" w:rsidR="007A4677" w:rsidRPr="009C059F" w:rsidRDefault="007A4677">
      <w:pPr>
        <w:rPr>
          <w:rFonts w:ascii="Times New Roman" w:hAnsi="Times New Roman" w:cs="Times New Roman"/>
        </w:rPr>
      </w:pPr>
    </w:p>
    <w:p w14:paraId="3ECAD8FE" w14:textId="77777777" w:rsidR="007A4677" w:rsidRDefault="007A4677">
      <w:pPr>
        <w:rPr>
          <w:rFonts w:ascii="Times New Roman" w:hAnsi="Times New Roman" w:cs="Times New Roman"/>
          <w:sz w:val="18"/>
          <w:szCs w:val="18"/>
        </w:rPr>
      </w:pPr>
    </w:p>
    <w:p w14:paraId="06F36A19" w14:textId="77777777" w:rsidR="00447307" w:rsidRDefault="00447307" w:rsidP="003F31E3">
      <w:pPr>
        <w:ind w:left="2832" w:firstLine="708"/>
        <w:rPr>
          <w:rFonts w:ascii="Times New Roman" w:hAnsi="Times New Roman" w:cs="Times New Roman"/>
          <w:sz w:val="18"/>
          <w:szCs w:val="18"/>
        </w:rPr>
      </w:pPr>
    </w:p>
    <w:p w14:paraId="32FE2F0A" w14:textId="656568B3" w:rsidR="005B7F18" w:rsidRPr="006B1C06" w:rsidRDefault="005B7F18" w:rsidP="005B7F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E82D53" w:rsidRPr="006D3AC0">
        <w:rPr>
          <w:rFonts w:ascii="Times New Roman" w:hAnsi="Times New Roman" w:cs="Times New Roman"/>
          <w:b/>
          <w:sz w:val="24"/>
          <w:szCs w:val="24"/>
        </w:rPr>
        <w:t>ПРЕДСЕДАТЕЛ НА НСИ</w:t>
      </w:r>
      <w:r w:rsidR="00447307" w:rsidRPr="006D3AC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05E1">
        <w:rPr>
          <w:rFonts w:ascii="Verdana" w:hAnsi="Verdana"/>
          <w:sz w:val="20"/>
          <w:szCs w:val="20"/>
        </w:rPr>
        <w:pict w14:anchorId="09879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81pt;height:40.5pt">
            <v:imagedata r:id="rId8" o:title=""/>
            <o:lock v:ext="edit" ungrouping="t" rotation="t" cropping="t" verticies="t" grouping="t"/>
            <o:signatureline v:ext="edit" id="{17E6E9E2-4901-49F8-9661-AF7F8C722637}" provid="{00000000-0000-0000-0000-000000000000}" issignatureline="t"/>
          </v:shape>
        </w:pict>
      </w:r>
      <w:r>
        <w:rPr>
          <w:rFonts w:ascii="Verdana" w:hAnsi="Verdana"/>
          <w:sz w:val="20"/>
          <w:szCs w:val="20"/>
        </w:rPr>
        <w:t xml:space="preserve"> </w:t>
      </w:r>
    </w:p>
    <w:p w14:paraId="4339E665" w14:textId="73FF1B26" w:rsidR="002A1D36" w:rsidRPr="006D3AC0" w:rsidRDefault="002A1D36" w:rsidP="003F31E3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1F489C11" w14:textId="77777777" w:rsidR="001436F8" w:rsidRDefault="006D3AC0" w:rsidP="006D3AC0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6D3AC0">
        <w:rPr>
          <w:rFonts w:ascii="Times New Roman" w:hAnsi="Times New Roman" w:cs="Times New Roman"/>
          <w:b/>
          <w:sz w:val="24"/>
          <w:szCs w:val="24"/>
        </w:rPr>
        <w:t>Доц. Д-р АТАНАС АТАНАСОВ</w:t>
      </w:r>
    </w:p>
    <w:p w14:paraId="3F97F6D1" w14:textId="77777777" w:rsidR="00572713" w:rsidRDefault="00572713" w:rsidP="006D3AC0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14:paraId="0C499B41" w14:textId="77777777" w:rsidR="00572713" w:rsidRPr="00572713" w:rsidRDefault="00572713" w:rsidP="00572713">
      <w:pPr>
        <w:spacing w:line="256" w:lineRule="auto"/>
        <w:rPr>
          <w:rFonts w:ascii="Calibri" w:eastAsia="Calibri" w:hAnsi="Calibri" w:cs="Times New Roman"/>
        </w:rPr>
      </w:pPr>
      <w:bookmarkStart w:id="0" w:name="_GoBack"/>
      <w:bookmarkEnd w:id="0"/>
    </w:p>
    <w:p w14:paraId="7ED5C7BA" w14:textId="77777777" w:rsidR="00572713" w:rsidRPr="006D3AC0" w:rsidRDefault="00572713" w:rsidP="00572713">
      <w:pPr>
        <w:ind w:left="142" w:firstLine="708"/>
        <w:rPr>
          <w:rFonts w:ascii="Times New Roman" w:hAnsi="Times New Roman" w:cs="Times New Roman"/>
          <w:b/>
          <w:sz w:val="24"/>
          <w:szCs w:val="24"/>
        </w:rPr>
      </w:pPr>
    </w:p>
    <w:sectPr w:rsidR="00572713" w:rsidRPr="006D3AC0" w:rsidSect="003F31E3">
      <w:footerReference w:type="default" r:id="rId9"/>
      <w:pgSz w:w="11906" w:h="16838" w:code="9"/>
      <w:pgMar w:top="1418" w:right="1274" w:bottom="1418" w:left="1418" w:header="709" w:footer="709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A13A3" w14:textId="77777777" w:rsidR="002053FB" w:rsidRDefault="002053FB" w:rsidP="00D53512">
      <w:pPr>
        <w:spacing w:after="0" w:line="240" w:lineRule="auto"/>
      </w:pPr>
      <w:r>
        <w:separator/>
      </w:r>
    </w:p>
  </w:endnote>
  <w:endnote w:type="continuationSeparator" w:id="0">
    <w:p w14:paraId="4DFF0549" w14:textId="77777777" w:rsidR="002053FB" w:rsidRDefault="002053FB" w:rsidP="00D5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3468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DC9ED" w14:textId="3FA757A0" w:rsidR="00020497" w:rsidRDefault="000204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5E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0685F32" w14:textId="77777777" w:rsidR="00020497" w:rsidRDefault="00020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69ABA" w14:textId="77777777" w:rsidR="002053FB" w:rsidRDefault="002053FB" w:rsidP="00D53512">
      <w:pPr>
        <w:spacing w:after="0" w:line="240" w:lineRule="auto"/>
      </w:pPr>
      <w:r>
        <w:separator/>
      </w:r>
    </w:p>
  </w:footnote>
  <w:footnote w:type="continuationSeparator" w:id="0">
    <w:p w14:paraId="3750C597" w14:textId="77777777" w:rsidR="002053FB" w:rsidRDefault="002053FB" w:rsidP="00D53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D73"/>
    <w:multiLevelType w:val="hybridMultilevel"/>
    <w:tmpl w:val="881E8B7E"/>
    <w:lvl w:ilvl="0" w:tplc="0402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2ED679B"/>
    <w:multiLevelType w:val="multilevel"/>
    <w:tmpl w:val="75D25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8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9C146E"/>
    <w:multiLevelType w:val="hybridMultilevel"/>
    <w:tmpl w:val="DB46C054"/>
    <w:lvl w:ilvl="0" w:tplc="BB7028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5310"/>
    <w:multiLevelType w:val="hybridMultilevel"/>
    <w:tmpl w:val="ABFA24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E0C"/>
    <w:multiLevelType w:val="hybridMultilevel"/>
    <w:tmpl w:val="62C6AD2C"/>
    <w:lvl w:ilvl="0" w:tplc="0402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0DD1452A"/>
    <w:multiLevelType w:val="hybridMultilevel"/>
    <w:tmpl w:val="1EE80AF4"/>
    <w:lvl w:ilvl="0" w:tplc="0402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0F752B4E"/>
    <w:multiLevelType w:val="hybridMultilevel"/>
    <w:tmpl w:val="27B22B54"/>
    <w:lvl w:ilvl="0" w:tplc="90B4F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C3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9E4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0B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AA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01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84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CC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A2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EF5195"/>
    <w:multiLevelType w:val="hybridMultilevel"/>
    <w:tmpl w:val="F09C2F04"/>
    <w:lvl w:ilvl="0" w:tplc="0402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1527380A"/>
    <w:multiLevelType w:val="hybridMultilevel"/>
    <w:tmpl w:val="19D08E2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277320"/>
    <w:multiLevelType w:val="hybridMultilevel"/>
    <w:tmpl w:val="A7D64788"/>
    <w:lvl w:ilvl="0" w:tplc="8618B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E2D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747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804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126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CC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06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C5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32A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18109B"/>
    <w:multiLevelType w:val="hybridMultilevel"/>
    <w:tmpl w:val="86C83FD0"/>
    <w:lvl w:ilvl="0" w:tplc="0402000D">
      <w:start w:val="1"/>
      <w:numFmt w:val="bullet"/>
      <w:lvlText w:val=""/>
      <w:lvlJc w:val="left"/>
      <w:pPr>
        <w:ind w:left="129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2F7C6DCA"/>
    <w:multiLevelType w:val="hybridMultilevel"/>
    <w:tmpl w:val="3600EA5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16839D0"/>
    <w:multiLevelType w:val="hybridMultilevel"/>
    <w:tmpl w:val="421A456A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62B67E7"/>
    <w:multiLevelType w:val="hybridMultilevel"/>
    <w:tmpl w:val="A46EB5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B1326D6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0132B"/>
    <w:multiLevelType w:val="hybridMultilevel"/>
    <w:tmpl w:val="69C4240A"/>
    <w:lvl w:ilvl="0" w:tplc="BF8A932C">
      <w:start w:val="43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B1E26"/>
    <w:multiLevelType w:val="multilevel"/>
    <w:tmpl w:val="7B2A63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u w:val="single"/>
      </w:rPr>
    </w:lvl>
  </w:abstractNum>
  <w:abstractNum w:abstractNumId="16" w15:restartNumberingAfterBreak="0">
    <w:nsid w:val="6BE74C17"/>
    <w:multiLevelType w:val="hybridMultilevel"/>
    <w:tmpl w:val="62F6E584"/>
    <w:lvl w:ilvl="0" w:tplc="26BEC3CE"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E3A7DA9"/>
    <w:multiLevelType w:val="hybridMultilevel"/>
    <w:tmpl w:val="2A2E80CC"/>
    <w:lvl w:ilvl="0" w:tplc="77E4DD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61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C1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DEE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5AE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23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4D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123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4AE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04C6949"/>
    <w:multiLevelType w:val="hybridMultilevel"/>
    <w:tmpl w:val="A2007CC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460B5"/>
    <w:multiLevelType w:val="hybridMultilevel"/>
    <w:tmpl w:val="AF1C76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3"/>
  </w:num>
  <w:num w:numId="4">
    <w:abstractNumId w:val="12"/>
  </w:num>
  <w:num w:numId="5">
    <w:abstractNumId w:val="11"/>
  </w:num>
  <w:num w:numId="6">
    <w:abstractNumId w:val="8"/>
  </w:num>
  <w:num w:numId="7">
    <w:abstractNumId w:val="18"/>
  </w:num>
  <w:num w:numId="8">
    <w:abstractNumId w:val="2"/>
  </w:num>
  <w:num w:numId="9">
    <w:abstractNumId w:val="15"/>
  </w:num>
  <w:num w:numId="10">
    <w:abstractNumId w:val="0"/>
  </w:num>
  <w:num w:numId="11">
    <w:abstractNumId w:val="7"/>
  </w:num>
  <w:num w:numId="12">
    <w:abstractNumId w:val="4"/>
  </w:num>
  <w:num w:numId="13">
    <w:abstractNumId w:val="10"/>
  </w:num>
  <w:num w:numId="14">
    <w:abstractNumId w:val="5"/>
  </w:num>
  <w:num w:numId="15">
    <w:abstractNumId w:val="1"/>
  </w:num>
  <w:num w:numId="16">
    <w:abstractNumId w:val="3"/>
  </w:num>
  <w:num w:numId="17">
    <w:abstractNumId w:val="9"/>
  </w:num>
  <w:num w:numId="18">
    <w:abstractNumId w:val="6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4A"/>
    <w:rsid w:val="000111E3"/>
    <w:rsid w:val="00017766"/>
    <w:rsid w:val="00020497"/>
    <w:rsid w:val="00027099"/>
    <w:rsid w:val="000277A5"/>
    <w:rsid w:val="000326C1"/>
    <w:rsid w:val="00033A70"/>
    <w:rsid w:val="00037EB7"/>
    <w:rsid w:val="00040675"/>
    <w:rsid w:val="000426E0"/>
    <w:rsid w:val="00043BDF"/>
    <w:rsid w:val="00050516"/>
    <w:rsid w:val="0005098D"/>
    <w:rsid w:val="000546B0"/>
    <w:rsid w:val="00057847"/>
    <w:rsid w:val="00075F19"/>
    <w:rsid w:val="00085CEB"/>
    <w:rsid w:val="00097CC5"/>
    <w:rsid w:val="000A7EFD"/>
    <w:rsid w:val="000B514C"/>
    <w:rsid w:val="000B70E9"/>
    <w:rsid w:val="000D28B7"/>
    <w:rsid w:val="000D455D"/>
    <w:rsid w:val="000E364C"/>
    <w:rsid w:val="000E618D"/>
    <w:rsid w:val="000F4A18"/>
    <w:rsid w:val="000F7D71"/>
    <w:rsid w:val="001072E6"/>
    <w:rsid w:val="00107C33"/>
    <w:rsid w:val="0011142C"/>
    <w:rsid w:val="00111690"/>
    <w:rsid w:val="00125144"/>
    <w:rsid w:val="00125DD9"/>
    <w:rsid w:val="00126111"/>
    <w:rsid w:val="00127011"/>
    <w:rsid w:val="00132FFD"/>
    <w:rsid w:val="001436F8"/>
    <w:rsid w:val="001553C9"/>
    <w:rsid w:val="00157371"/>
    <w:rsid w:val="001575CC"/>
    <w:rsid w:val="00160684"/>
    <w:rsid w:val="0016125D"/>
    <w:rsid w:val="00174A75"/>
    <w:rsid w:val="00175083"/>
    <w:rsid w:val="001837C3"/>
    <w:rsid w:val="00186D13"/>
    <w:rsid w:val="00192839"/>
    <w:rsid w:val="0019315F"/>
    <w:rsid w:val="00195DFE"/>
    <w:rsid w:val="001978AF"/>
    <w:rsid w:val="001A59F6"/>
    <w:rsid w:val="001A6266"/>
    <w:rsid w:val="001B602C"/>
    <w:rsid w:val="001C6062"/>
    <w:rsid w:val="001D1A66"/>
    <w:rsid w:val="001E1141"/>
    <w:rsid w:val="001F43B6"/>
    <w:rsid w:val="00203848"/>
    <w:rsid w:val="002053FB"/>
    <w:rsid w:val="00217853"/>
    <w:rsid w:val="00221678"/>
    <w:rsid w:val="00223EBE"/>
    <w:rsid w:val="00227DED"/>
    <w:rsid w:val="00231EC1"/>
    <w:rsid w:val="00237521"/>
    <w:rsid w:val="00245BDB"/>
    <w:rsid w:val="00246E43"/>
    <w:rsid w:val="00247A2E"/>
    <w:rsid w:val="00255104"/>
    <w:rsid w:val="00267353"/>
    <w:rsid w:val="00267EC7"/>
    <w:rsid w:val="00267ED0"/>
    <w:rsid w:val="002731ED"/>
    <w:rsid w:val="00276E08"/>
    <w:rsid w:val="002774A1"/>
    <w:rsid w:val="00281198"/>
    <w:rsid w:val="00282054"/>
    <w:rsid w:val="002834CF"/>
    <w:rsid w:val="002A1D36"/>
    <w:rsid w:val="002A77EC"/>
    <w:rsid w:val="002B1559"/>
    <w:rsid w:val="002B3318"/>
    <w:rsid w:val="002B6024"/>
    <w:rsid w:val="002C457D"/>
    <w:rsid w:val="002D6D94"/>
    <w:rsid w:val="002E3678"/>
    <w:rsid w:val="002F11FA"/>
    <w:rsid w:val="002F4E7F"/>
    <w:rsid w:val="002F63DA"/>
    <w:rsid w:val="002F78AA"/>
    <w:rsid w:val="00303B8E"/>
    <w:rsid w:val="003101A5"/>
    <w:rsid w:val="00317682"/>
    <w:rsid w:val="00321A67"/>
    <w:rsid w:val="00322860"/>
    <w:rsid w:val="003343D8"/>
    <w:rsid w:val="003348C3"/>
    <w:rsid w:val="003374D8"/>
    <w:rsid w:val="00345FED"/>
    <w:rsid w:val="00346C9E"/>
    <w:rsid w:val="00356E6C"/>
    <w:rsid w:val="00357595"/>
    <w:rsid w:val="00365C3C"/>
    <w:rsid w:val="0037041C"/>
    <w:rsid w:val="00371661"/>
    <w:rsid w:val="00374408"/>
    <w:rsid w:val="00382473"/>
    <w:rsid w:val="00382BAF"/>
    <w:rsid w:val="00383FE4"/>
    <w:rsid w:val="003901A9"/>
    <w:rsid w:val="003A03E1"/>
    <w:rsid w:val="003A6098"/>
    <w:rsid w:val="003B64D7"/>
    <w:rsid w:val="003C413E"/>
    <w:rsid w:val="003C5FBD"/>
    <w:rsid w:val="003D3826"/>
    <w:rsid w:val="003F0CBA"/>
    <w:rsid w:val="003F31E3"/>
    <w:rsid w:val="003F6026"/>
    <w:rsid w:val="0041322B"/>
    <w:rsid w:val="004147FC"/>
    <w:rsid w:val="00431509"/>
    <w:rsid w:val="00432843"/>
    <w:rsid w:val="00447307"/>
    <w:rsid w:val="00452CEF"/>
    <w:rsid w:val="00454267"/>
    <w:rsid w:val="004544BA"/>
    <w:rsid w:val="00454E93"/>
    <w:rsid w:val="00462E6B"/>
    <w:rsid w:val="00481BF5"/>
    <w:rsid w:val="0048498C"/>
    <w:rsid w:val="00491B28"/>
    <w:rsid w:val="004A297F"/>
    <w:rsid w:val="004A4412"/>
    <w:rsid w:val="004A45FB"/>
    <w:rsid w:val="004A7054"/>
    <w:rsid w:val="004B16A9"/>
    <w:rsid w:val="004B4A69"/>
    <w:rsid w:val="004B534A"/>
    <w:rsid w:val="004C15FE"/>
    <w:rsid w:val="004C1DB6"/>
    <w:rsid w:val="004C219E"/>
    <w:rsid w:val="004D4E0B"/>
    <w:rsid w:val="004D5EEB"/>
    <w:rsid w:val="004E4244"/>
    <w:rsid w:val="004E6273"/>
    <w:rsid w:val="004E7940"/>
    <w:rsid w:val="004F2A6A"/>
    <w:rsid w:val="004F7EFF"/>
    <w:rsid w:val="005008E9"/>
    <w:rsid w:val="005027EC"/>
    <w:rsid w:val="00502D40"/>
    <w:rsid w:val="00507346"/>
    <w:rsid w:val="00507DE5"/>
    <w:rsid w:val="005359D2"/>
    <w:rsid w:val="00536CFD"/>
    <w:rsid w:val="0054405E"/>
    <w:rsid w:val="0054468F"/>
    <w:rsid w:val="005529CD"/>
    <w:rsid w:val="00552F70"/>
    <w:rsid w:val="00555A84"/>
    <w:rsid w:val="00570F7D"/>
    <w:rsid w:val="00572713"/>
    <w:rsid w:val="00574AAC"/>
    <w:rsid w:val="00574B82"/>
    <w:rsid w:val="00581FC8"/>
    <w:rsid w:val="005A3173"/>
    <w:rsid w:val="005A3533"/>
    <w:rsid w:val="005A73D8"/>
    <w:rsid w:val="005B103F"/>
    <w:rsid w:val="005B6D3C"/>
    <w:rsid w:val="005B7F18"/>
    <w:rsid w:val="005C298A"/>
    <w:rsid w:val="005C2AD4"/>
    <w:rsid w:val="005C39F6"/>
    <w:rsid w:val="005C52A9"/>
    <w:rsid w:val="005C57CB"/>
    <w:rsid w:val="005D274D"/>
    <w:rsid w:val="005E3C16"/>
    <w:rsid w:val="005E7617"/>
    <w:rsid w:val="005F2AF0"/>
    <w:rsid w:val="006001D8"/>
    <w:rsid w:val="00603165"/>
    <w:rsid w:val="00603636"/>
    <w:rsid w:val="0060712A"/>
    <w:rsid w:val="00607598"/>
    <w:rsid w:val="006117B3"/>
    <w:rsid w:val="0061568E"/>
    <w:rsid w:val="00622808"/>
    <w:rsid w:val="006251E9"/>
    <w:rsid w:val="006265ED"/>
    <w:rsid w:val="006305E1"/>
    <w:rsid w:val="00644CBC"/>
    <w:rsid w:val="00654BA5"/>
    <w:rsid w:val="006639CA"/>
    <w:rsid w:val="006720AB"/>
    <w:rsid w:val="00674B11"/>
    <w:rsid w:val="006770CE"/>
    <w:rsid w:val="00680575"/>
    <w:rsid w:val="006805E9"/>
    <w:rsid w:val="00684F1C"/>
    <w:rsid w:val="00685581"/>
    <w:rsid w:val="00686B4F"/>
    <w:rsid w:val="00686FEB"/>
    <w:rsid w:val="006879B2"/>
    <w:rsid w:val="00691648"/>
    <w:rsid w:val="0069242B"/>
    <w:rsid w:val="006959D9"/>
    <w:rsid w:val="00696CD2"/>
    <w:rsid w:val="006A0F8C"/>
    <w:rsid w:val="006A1E9D"/>
    <w:rsid w:val="006A5738"/>
    <w:rsid w:val="006B116D"/>
    <w:rsid w:val="006B35AB"/>
    <w:rsid w:val="006C08FC"/>
    <w:rsid w:val="006C18DB"/>
    <w:rsid w:val="006C2350"/>
    <w:rsid w:val="006D3AC0"/>
    <w:rsid w:val="006D4C4E"/>
    <w:rsid w:val="006D51DA"/>
    <w:rsid w:val="006D617A"/>
    <w:rsid w:val="006D6832"/>
    <w:rsid w:val="006E370D"/>
    <w:rsid w:val="006F042F"/>
    <w:rsid w:val="00702577"/>
    <w:rsid w:val="00706645"/>
    <w:rsid w:val="007069E4"/>
    <w:rsid w:val="00711CAE"/>
    <w:rsid w:val="0071651B"/>
    <w:rsid w:val="0071685C"/>
    <w:rsid w:val="007218D0"/>
    <w:rsid w:val="00723B69"/>
    <w:rsid w:val="00726871"/>
    <w:rsid w:val="00731FEF"/>
    <w:rsid w:val="00736EFF"/>
    <w:rsid w:val="00740653"/>
    <w:rsid w:val="0075379E"/>
    <w:rsid w:val="00756236"/>
    <w:rsid w:val="00776773"/>
    <w:rsid w:val="00776BB7"/>
    <w:rsid w:val="00780543"/>
    <w:rsid w:val="00783ABC"/>
    <w:rsid w:val="0078555F"/>
    <w:rsid w:val="007864A4"/>
    <w:rsid w:val="007A1656"/>
    <w:rsid w:val="007A270A"/>
    <w:rsid w:val="007A4677"/>
    <w:rsid w:val="007A557F"/>
    <w:rsid w:val="007C0EB5"/>
    <w:rsid w:val="007C42C5"/>
    <w:rsid w:val="007C56BF"/>
    <w:rsid w:val="007D0701"/>
    <w:rsid w:val="007D2517"/>
    <w:rsid w:val="007D3A16"/>
    <w:rsid w:val="007D4814"/>
    <w:rsid w:val="007D497D"/>
    <w:rsid w:val="007E1BA0"/>
    <w:rsid w:val="007E379C"/>
    <w:rsid w:val="007E79CE"/>
    <w:rsid w:val="007F1F04"/>
    <w:rsid w:val="0080607D"/>
    <w:rsid w:val="0080667B"/>
    <w:rsid w:val="00824CF1"/>
    <w:rsid w:val="00840384"/>
    <w:rsid w:val="00841C9D"/>
    <w:rsid w:val="00851A0C"/>
    <w:rsid w:val="0085405E"/>
    <w:rsid w:val="0085557C"/>
    <w:rsid w:val="00857D42"/>
    <w:rsid w:val="00865EA1"/>
    <w:rsid w:val="00883353"/>
    <w:rsid w:val="00887006"/>
    <w:rsid w:val="008961CC"/>
    <w:rsid w:val="00896262"/>
    <w:rsid w:val="008A5C0F"/>
    <w:rsid w:val="008B56D3"/>
    <w:rsid w:val="008D07A7"/>
    <w:rsid w:val="008E663F"/>
    <w:rsid w:val="00900903"/>
    <w:rsid w:val="00903DC3"/>
    <w:rsid w:val="00904298"/>
    <w:rsid w:val="00906EA0"/>
    <w:rsid w:val="0091274C"/>
    <w:rsid w:val="009144DD"/>
    <w:rsid w:val="00923263"/>
    <w:rsid w:val="009276CA"/>
    <w:rsid w:val="00932A94"/>
    <w:rsid w:val="00953652"/>
    <w:rsid w:val="00956053"/>
    <w:rsid w:val="0095728A"/>
    <w:rsid w:val="00960C21"/>
    <w:rsid w:val="00961FD1"/>
    <w:rsid w:val="0096317D"/>
    <w:rsid w:val="00970996"/>
    <w:rsid w:val="00974B61"/>
    <w:rsid w:val="00976CF4"/>
    <w:rsid w:val="00983DD7"/>
    <w:rsid w:val="00985288"/>
    <w:rsid w:val="0098668B"/>
    <w:rsid w:val="00987BF1"/>
    <w:rsid w:val="00987F4D"/>
    <w:rsid w:val="009B56E1"/>
    <w:rsid w:val="009B6D12"/>
    <w:rsid w:val="009C059F"/>
    <w:rsid w:val="009C0C27"/>
    <w:rsid w:val="009C1BD6"/>
    <w:rsid w:val="009C779F"/>
    <w:rsid w:val="009D10E0"/>
    <w:rsid w:val="009D4C89"/>
    <w:rsid w:val="009E1A1B"/>
    <w:rsid w:val="009E5CD0"/>
    <w:rsid w:val="009F1FCE"/>
    <w:rsid w:val="009F3998"/>
    <w:rsid w:val="009F5B28"/>
    <w:rsid w:val="00A07A44"/>
    <w:rsid w:val="00A07DE7"/>
    <w:rsid w:val="00A11EC0"/>
    <w:rsid w:val="00A12ABA"/>
    <w:rsid w:val="00A14766"/>
    <w:rsid w:val="00A22242"/>
    <w:rsid w:val="00A22A22"/>
    <w:rsid w:val="00A34AF3"/>
    <w:rsid w:val="00A60DF7"/>
    <w:rsid w:val="00A60E2F"/>
    <w:rsid w:val="00A651F6"/>
    <w:rsid w:val="00A84DDB"/>
    <w:rsid w:val="00A91D8A"/>
    <w:rsid w:val="00A91F35"/>
    <w:rsid w:val="00AA3988"/>
    <w:rsid w:val="00AB791D"/>
    <w:rsid w:val="00AC0E61"/>
    <w:rsid w:val="00AD3B3C"/>
    <w:rsid w:val="00AD4182"/>
    <w:rsid w:val="00AD4357"/>
    <w:rsid w:val="00AD45A0"/>
    <w:rsid w:val="00AD6534"/>
    <w:rsid w:val="00AD7E77"/>
    <w:rsid w:val="00AF0307"/>
    <w:rsid w:val="00AF60AA"/>
    <w:rsid w:val="00B06A91"/>
    <w:rsid w:val="00B10C14"/>
    <w:rsid w:val="00B1312B"/>
    <w:rsid w:val="00B1328A"/>
    <w:rsid w:val="00B254C7"/>
    <w:rsid w:val="00B51786"/>
    <w:rsid w:val="00B5230A"/>
    <w:rsid w:val="00B60FA2"/>
    <w:rsid w:val="00B65291"/>
    <w:rsid w:val="00B73C05"/>
    <w:rsid w:val="00B867B8"/>
    <w:rsid w:val="00B86B0D"/>
    <w:rsid w:val="00B925C8"/>
    <w:rsid w:val="00B95B36"/>
    <w:rsid w:val="00BA46EC"/>
    <w:rsid w:val="00BC555F"/>
    <w:rsid w:val="00BD0150"/>
    <w:rsid w:val="00BD0C02"/>
    <w:rsid w:val="00BD26DC"/>
    <w:rsid w:val="00BD37A4"/>
    <w:rsid w:val="00BD6D07"/>
    <w:rsid w:val="00BF082B"/>
    <w:rsid w:val="00BF0BFF"/>
    <w:rsid w:val="00BF10AB"/>
    <w:rsid w:val="00BF17A9"/>
    <w:rsid w:val="00BF44CE"/>
    <w:rsid w:val="00BF492D"/>
    <w:rsid w:val="00BF64C5"/>
    <w:rsid w:val="00C03171"/>
    <w:rsid w:val="00C111EE"/>
    <w:rsid w:val="00C1377F"/>
    <w:rsid w:val="00C225E1"/>
    <w:rsid w:val="00C27021"/>
    <w:rsid w:val="00C40EBE"/>
    <w:rsid w:val="00C5156C"/>
    <w:rsid w:val="00C54783"/>
    <w:rsid w:val="00C647EE"/>
    <w:rsid w:val="00C6537A"/>
    <w:rsid w:val="00C66635"/>
    <w:rsid w:val="00C71F05"/>
    <w:rsid w:val="00C8025A"/>
    <w:rsid w:val="00C80AC2"/>
    <w:rsid w:val="00C94773"/>
    <w:rsid w:val="00C96826"/>
    <w:rsid w:val="00CA518A"/>
    <w:rsid w:val="00CB21BD"/>
    <w:rsid w:val="00CB7F0A"/>
    <w:rsid w:val="00CC0AB2"/>
    <w:rsid w:val="00CC152A"/>
    <w:rsid w:val="00CC344E"/>
    <w:rsid w:val="00CC430D"/>
    <w:rsid w:val="00CC45CB"/>
    <w:rsid w:val="00CC6AAC"/>
    <w:rsid w:val="00CD6137"/>
    <w:rsid w:val="00CE041C"/>
    <w:rsid w:val="00CE6B42"/>
    <w:rsid w:val="00CF0CA2"/>
    <w:rsid w:val="00CF3E17"/>
    <w:rsid w:val="00D14EFF"/>
    <w:rsid w:val="00D17E64"/>
    <w:rsid w:val="00D20333"/>
    <w:rsid w:val="00D33ADC"/>
    <w:rsid w:val="00D346EF"/>
    <w:rsid w:val="00D371A9"/>
    <w:rsid w:val="00D408DA"/>
    <w:rsid w:val="00D44519"/>
    <w:rsid w:val="00D44CD9"/>
    <w:rsid w:val="00D53512"/>
    <w:rsid w:val="00D71F08"/>
    <w:rsid w:val="00DA27A7"/>
    <w:rsid w:val="00DA3A4F"/>
    <w:rsid w:val="00DB6EE2"/>
    <w:rsid w:val="00DC38AE"/>
    <w:rsid w:val="00DC7205"/>
    <w:rsid w:val="00DC7517"/>
    <w:rsid w:val="00DD7BF8"/>
    <w:rsid w:val="00DE0993"/>
    <w:rsid w:val="00DF74A8"/>
    <w:rsid w:val="00E01E12"/>
    <w:rsid w:val="00E03785"/>
    <w:rsid w:val="00E073B4"/>
    <w:rsid w:val="00E076DC"/>
    <w:rsid w:val="00E07E68"/>
    <w:rsid w:val="00E23004"/>
    <w:rsid w:val="00E249E4"/>
    <w:rsid w:val="00E26BC7"/>
    <w:rsid w:val="00E27291"/>
    <w:rsid w:val="00E31F32"/>
    <w:rsid w:val="00E56990"/>
    <w:rsid w:val="00E630FE"/>
    <w:rsid w:val="00E66694"/>
    <w:rsid w:val="00E700BA"/>
    <w:rsid w:val="00E82D53"/>
    <w:rsid w:val="00E92FE7"/>
    <w:rsid w:val="00E944B0"/>
    <w:rsid w:val="00EA1D8E"/>
    <w:rsid w:val="00EA7240"/>
    <w:rsid w:val="00EB2C7C"/>
    <w:rsid w:val="00EB5469"/>
    <w:rsid w:val="00EB5DC5"/>
    <w:rsid w:val="00EB5EB0"/>
    <w:rsid w:val="00EB6721"/>
    <w:rsid w:val="00ED3436"/>
    <w:rsid w:val="00EF0BED"/>
    <w:rsid w:val="00F01E7B"/>
    <w:rsid w:val="00F021DE"/>
    <w:rsid w:val="00F12497"/>
    <w:rsid w:val="00F24FEE"/>
    <w:rsid w:val="00F40B5D"/>
    <w:rsid w:val="00F500A3"/>
    <w:rsid w:val="00F51E50"/>
    <w:rsid w:val="00F5787B"/>
    <w:rsid w:val="00F60237"/>
    <w:rsid w:val="00F66ADC"/>
    <w:rsid w:val="00F67B72"/>
    <w:rsid w:val="00F71ECE"/>
    <w:rsid w:val="00F739A1"/>
    <w:rsid w:val="00F74174"/>
    <w:rsid w:val="00F806F3"/>
    <w:rsid w:val="00F825CC"/>
    <w:rsid w:val="00F83F8D"/>
    <w:rsid w:val="00F86D28"/>
    <w:rsid w:val="00FA0883"/>
    <w:rsid w:val="00FA1654"/>
    <w:rsid w:val="00FB1414"/>
    <w:rsid w:val="00FB199B"/>
    <w:rsid w:val="00FB66C9"/>
    <w:rsid w:val="00FC0800"/>
    <w:rsid w:val="00FC4704"/>
    <w:rsid w:val="00FC6A25"/>
    <w:rsid w:val="00FD1E55"/>
    <w:rsid w:val="00FE0F56"/>
    <w:rsid w:val="00FE37DD"/>
    <w:rsid w:val="00FE512F"/>
    <w:rsid w:val="00FE601B"/>
    <w:rsid w:val="00FE67F7"/>
    <w:rsid w:val="00FF1007"/>
    <w:rsid w:val="00FF1A08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7B5C"/>
  <w15:chartTrackingRefBased/>
  <w15:docId w15:val="{B50DB2E0-F555-4F7C-BE7C-D3B1F14B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02C"/>
  </w:style>
  <w:style w:type="paragraph" w:styleId="Heading1">
    <w:name w:val="heading 1"/>
    <w:basedOn w:val="Normal"/>
    <w:link w:val="Heading1Char"/>
    <w:uiPriority w:val="1"/>
    <w:qFormat/>
    <w:rsid w:val="00507346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512"/>
  </w:style>
  <w:style w:type="paragraph" w:styleId="Footer">
    <w:name w:val="footer"/>
    <w:basedOn w:val="Normal"/>
    <w:link w:val="FooterChar"/>
    <w:uiPriority w:val="99"/>
    <w:unhideWhenUsed/>
    <w:rsid w:val="00D5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512"/>
  </w:style>
  <w:style w:type="paragraph" w:styleId="BodyText">
    <w:name w:val="Body Text"/>
    <w:basedOn w:val="Normal"/>
    <w:link w:val="BodyTextChar"/>
    <w:uiPriority w:val="99"/>
    <w:semiHidden/>
    <w:unhideWhenUsed/>
    <w:rsid w:val="006A0F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0F8C"/>
  </w:style>
  <w:style w:type="paragraph" w:styleId="ListParagraph">
    <w:name w:val="List Paragraph"/>
    <w:basedOn w:val="Normal"/>
    <w:uiPriority w:val="34"/>
    <w:qFormat/>
    <w:rsid w:val="007562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07346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styleId="Hyperlink">
    <w:name w:val="Hyperlink"/>
    <w:uiPriority w:val="99"/>
    <w:unhideWhenUsed/>
    <w:rsid w:val="0050734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68558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0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2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83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7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52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8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1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1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438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9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j87N4Pcilq/kkCELqUbsA9UoGxdX7b63RARw+YtEzNA=</DigestValue>
    </Reference>
    <Reference Type="http://www.w3.org/2000/09/xmldsig#Object" URI="#idOfficeObject">
      <DigestMethod Algorithm="http://www.w3.org/2001/04/xmlenc#sha256"/>
      <DigestValue>CL501ZR2x3RZ01SeMbBkS2ywIk+vcvNKs4WeoPSkhbs=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CyMdnliDsZKxeD5l7ELaMEOY43gm5fwKArj1b4Jn5uw=</DigestValue>
    </Reference>
    <Reference Type="http://www.w3.org/2000/09/xmldsig#Object" URI="#idValidSigLnImg">
      <DigestMethod Algorithm="http://www.w3.org/2001/04/xmlenc#sha256"/>
      <DigestValue>tCIRz64tRntF45d8a78B++hdcxhT5P7gFSPzTmG64Z4=</DigestValue>
    </Reference>
    <Reference Type="http://www.w3.org/2000/09/xmldsig#Object" URI="#idInvalidSigLnImg">
      <DigestMethod Algorithm="http://www.w3.org/2001/04/xmlenc#sha256"/>
      <DigestValue>osvsH24PmARZAsTIlo15a0UfS5ethqFTCb4pWgud31I=</DigestValue>
    </Reference>
  </SignedInfo>
  <SignatureValue>MQDP98gSE7rOzCsSmUDdulE/B3lM42j/QkuazQYaa1L0kwtfD8gSm7zpcaKi3MPvZin9nRiKlBrA
6GVLx4X0qwE+XybbWun0E5Q1NHxMy0FI6ZTCLbQ7i2cc6gBe13f2GA4z5jHgHHzKJNKPO6RVwOED
1KgchGXsYTpJysLiXYgHuzmwmrvMHPJ/4wFQw2hQVnedtuIJO9HpGIhtuAmBlyXIBcW9T30jyZkX
hK+erIFzF8gXDZn95whREZqriEGDGTtgCmqdO4Jxy8JnFDT8DYYbtKQkvT7yu5Dm6JErqXvIk1/y
8MrfwKiBwJ0z7ouMYEimsle5Z/AiW9R/WNsHhg==</SignatureValue>
  <KeyInfo>
    <X509Data>
      <X509Certificate>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FqtQ8F5ElXSHpqQ+KuzCzpzwjLcbdiXPwMhtZdymqjc=</DigestValue>
      </Reference>
      <Reference URI="/word/document.xml?ContentType=application/vnd.openxmlformats-officedocument.wordprocessingml.document.main+xml">
        <DigestMethod Algorithm="http://www.w3.org/2001/04/xmlenc#sha256"/>
        <DigestValue>y+vCCJE+EGUJGtx85i0AE5g24kPrKAUpbc6FKImF7vI=</DigestValue>
      </Reference>
      <Reference URI="/word/endnotes.xml?ContentType=application/vnd.openxmlformats-officedocument.wordprocessingml.endnotes+xml">
        <DigestMethod Algorithm="http://www.w3.org/2001/04/xmlenc#sha256"/>
        <DigestValue>eEwIXwutvgT+ZpqUStpo+ZXVSq2PKVjI7BHrbFgrscU=</DigestValue>
      </Reference>
      <Reference URI="/word/fontTable.xml?ContentType=application/vnd.openxmlformats-officedocument.wordprocessingml.fontTable+xml">
        <DigestMethod Algorithm="http://www.w3.org/2001/04/xmlenc#sha256"/>
        <DigestValue>svZcB8L3nbuPf+6GGjBwSBhCR716ys5/iaDoLx++arg=</DigestValue>
      </Reference>
      <Reference URI="/word/footer1.xml?ContentType=application/vnd.openxmlformats-officedocument.wordprocessingml.footer+xml">
        <DigestMethod Algorithm="http://www.w3.org/2001/04/xmlenc#sha256"/>
        <DigestValue>1ONwdQKHQticuW6zJ9g7wHu2FiR3YVoHQw32+RInjrI=</DigestValue>
      </Reference>
      <Reference URI="/word/footnotes.xml?ContentType=application/vnd.openxmlformats-officedocument.wordprocessingml.footnotes+xml">
        <DigestMethod Algorithm="http://www.w3.org/2001/04/xmlenc#sha256"/>
        <DigestValue>rmXC9TUBETb3TNRcI8ZvuoMH87lGuTdKKJUxB9nerFw=</DigestValue>
      </Reference>
      <Reference URI="/word/media/image1.emf?ContentType=image/x-emf">
        <DigestMethod Algorithm="http://www.w3.org/2001/04/xmlenc#sha256"/>
        <DigestValue>5/l7ajLfqX95ezW0Dmw7V0U7/ASQL5z2LpSMTu8ChuE=</DigestValue>
      </Reference>
      <Reference URI="/word/numbering.xml?ContentType=application/vnd.openxmlformats-officedocument.wordprocessingml.numbering+xml">
        <DigestMethod Algorithm="http://www.w3.org/2001/04/xmlenc#sha256"/>
        <DigestValue>hsN9pPh2QhEMsARqDSherUn3qE8sNxFo/olAHQnKz64=</DigestValue>
      </Reference>
      <Reference URI="/word/settings.xml?ContentType=application/vnd.openxmlformats-officedocument.wordprocessingml.settings+xml">
        <DigestMethod Algorithm="http://www.w3.org/2001/04/xmlenc#sha256"/>
        <DigestValue>8zR3GeMMrYU4fhtkjejrPdkJpG4g/M7fF/LRD/Lb7T8=</DigestValue>
      </Reference>
      <Reference URI="/word/styles.xml?ContentType=application/vnd.openxmlformats-officedocument.wordprocessingml.styles+xml">
        <DigestMethod Algorithm="http://www.w3.org/2001/04/xmlenc#sha256"/>
        <DigestValue>qZlNN8sl7URLmLMkPibjRI4OdblFeiOuVmV9shQ9kSE=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ACpJd1HpKjI4F0V8v/r8YanctYJAcJh0ukPGja5Zl6Y=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2026-03-13T09:02:30Z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{17E6E9E2-4901-49F8-9661-AF7F8C722637}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2026-03-13T09:02:30Z</xd:SigningTime>
          <xd:SigningCertificate>
            <xd:Cert>
              <xd:CertDigest>
                <DigestMethod Algorithm="http://www.w3.org/2001/04/xmlenc#sha256"/>
                <DigestValue>sOUecIScBfHkbN4qLyBNFaDbrxqIjOVFAI5+CKebOx0=</DigestValue>
              </xd:CertDigest>
              <xd:IssuerSerial>
                <X509IssuerName>C=BG, L=Sofia, O=Information Services JSC, OID.2.5.4.97=NTRBG-831641791, CN=StampIT Global Qualified CA</X509IssuerName>
                <X509SerialNumber>3301080880086050484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wVQAADysAACBFTUYAAAEA7BgAAJoAAAAGAAAAAAAAAAAAAAAAAAAAgAcAADgEAAByBgAAogMAAAAAAAAAAAAAAAAAAFAtGQDQMA4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kNfSjAAAAsD9fjv9/AAAJAAAAAQAAANBuUYz/fwAAAAAAAAAAAACHhOdo/38AAKD4ozUZAgAAAAAAAAAAAAAAAAAAAAAAAAAAAAAAAAAAqS+KZG50AAAAAAAAAAAAAP////8ZAgAAAAAAAAAAAABw3pU9GQIAAIDkNfQAAAAAoK5WRRkCAAAHAAAAAAAAAMCEnz0ZAgAAvOM19KMAAAAQ5DX0owAAAAGqJ4z/fwAAHgAAAAAAAADyvlh4AAAAAB4AAAAAAAAAwDG9PRkCAABw3pU9GQIAACvUK4z/fwAAYOM19KMAAAAQ5DX0o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OR2aBkCAAD0359j/38AAJDhjD0ZAgAA0G5RjP9/AAAAAAAAAAAAAAFO12P/fwAAAgAAAAAAAAACAAAAAAAAAAAAAAAAAAAAAAAAAAAAAADJ1opkbnQAABC3mj0ZAgAAkCanaBkCAAAAAAAAAAAAAHDelT0ZAgAAuB019AAAAADg////AAAAAAYAAAAAAAAAAgAAAAAAAADcHDX0owAAADAdNfSjAAAAAaonjP9/AAAAAAAAAAAAAMDn6IsAAAAAAAAAAAAAAACbjqdj/38AAHDelT0ZAgAAK9QrjP9/AACAHDX0owAAADAdNfSjAAAAAAAAAAAAAAAAAAAAZHYACAAAAAAlAAAADAAAAAMAAAAYAAAADAAAAAAAAAISAAAADAAAAAEAAAAWAAAADAAAAAgAAABUAAAAVAAAAAoAAAAnAAAAHgAAAEoAAAABAAAAAOCrQuQ4r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dNRkCAADQblGM/38AAAAAAAAAAAAAx7Nzjv9/AAAAAJU1GQIAAAIAAAD/fwAAAAAAAAAAAAAAAAAAAAAAACnWimRudAAAAQAAAAAAAABAXrlkAgAAAAAAAAAAAAAAcN6VPRkCAAAYHTX0AAAAAPD///8AAAAACQAAAAAAAAADAAAAAAAAADwcNfSjAAAAkBw19KMAAAABqieM/38AAAAAAAAAAAAAwOfoiwAAAAAAAAAAAAAAABAcNfSjAAAAcN6VPRkCAAAr1CuM/38AAOAbNfSjAAAAkBw19KMAAAAwPIBEGQIAAAAAAABkdgAIAAAAACUAAAAMAAAABAAAABgAAAAMAAAAAAAAAhIAAAAMAAAAAQAAAB4AAAAYAAAAKQAAADMAAAAvAAAASAAAACUAAAAMAAAABAAAAFQAAABUAAAAKgAAADMAAAAtAAAARwAAAAEAAAAA4KtC5DisQi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</Object>
  <Object Id="idInvalidSigLnImg">AQAAAGwAAAAAAAAAAAAAAP8AAAB/AAAAAAAAAAAAAADwVQAADysAACBFTUYAAAEAiBwAAKAAAAAGAAAAAAAAAAAAAAAAAAAAgAcAADgEAAByBgAAogMAAAAAAAAAAAAAAAAAAFAtGQDQMA4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4TnaP9/AAAKAAsAAAAAANBuUYz/fwAAAAAAAAAAAACshOdo/38AAAAAAAAAAAAAUHffjP9/AAAAAAAAAAAAAAAAAAAAAAAA+VCKZG50AAAjV6xj/38AAEgAAAAZAgAAAAAAAAAAAABw3pU9GQIAAMijNfQAAAAA9f///wAAAAAJAAAAAAAAAAAAAAAAAAAA7KI19KMAAABAozX0owAAAAGqJ4z/fwAAAAAAAAAAAAAAAAAAAAAAAHDelT0ZAgAAyKM19KMAAABw3pU9GQIAACvUK4z/fwAAkKI19KMAAABAozX0owAAAAAAAAAAAAAAAAAAAGR2AAgAAAAAJQAAAAwAAAABAAAAGAAAAAwAAAD/AAACEgAAAAwAAAABAAAAHgAAABgAAAAiAAAABAAAAHoAAAARAAAAJQAAAAwAAAABAAAAVAAAALQAAAAjAAAABAAAAHgAAAAQAAAAAQAAAADgq0LkOKx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kNfSjAAAAsD9fjv9/AAAJAAAAAQAAANBuUYz/fwAAAAAAAAAAAACHhOdo/38AAKD4ozUZAgAAAAAAAAAAAAAAAAAAAAAAAAAAAAAAAAAAqS+KZG50AAAAAAAAAAAAAP////8ZAgAAAAAAAAAAAABw3pU9GQIAAIDkNfQAAAAAoK5WRRkCAAAHAAAAAAAAAMCEnz0ZAgAAvOM19KMAAAAQ5DX0owAAAAGqJ4z/fwAAHgAAAAAAAADyvlh4AAAAAB4AAAAAAAAAwDG9PRkCAABw3pU9GQIAACvUK4z/fwAAYOM19KMAAAAQ5DX0o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OR2aBkCAAD0359j/38AAJDhjD0ZAgAA0G5RjP9/AAAAAAAAAAAAAAFO12P/fwAAAgAAAAAAAAACAAAAAAAAAAAAAAAAAAAAAAAAAAAAAADJ1opkbnQAABC3mj0ZAgAAkCanaBkCAAAAAAAAAAAAAHDelT0ZAgAAuB019AAAAADg////AAAAAAYAAAAAAAAAAgAAAAAAAADcHDX0owAAADAdNfSjAAAAAaonjP9/AAAAAAAAAAAAAMDn6IsAAAAAAAAAAAAAAACbjqdj/38AAHDelT0ZAgAAK9QrjP9/AACAHDX0owAAADAdNfSjAAAAAAAAAAAAAAAAAAAAZHYACAAAAAAlAAAADAAAAAMAAAAYAAAADAAAAAAAAAISAAAADAAAAAEAAAAWAAAADAAAAAgAAABUAAAAVAAAAAoAAAAnAAAAHgAAAEoAAAABAAAAAOCrQuQ4r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CdNRkCAADQblGM/38AAAAAAAAAAAAAx7Nzjv9/AAAAAJU1GQIAAAIAAAD/fwAAAAAAAAAAAAAAAAAAAAAAACnWimRudAAAAQAAAAAAAABAXrlkAgAAAAAAAAAAAAAAcN6VPRkCAAAYHTX0AAAAAPD///8AAAAACQAAAAAAAAADAAAAAAAAADwcNfSjAAAAkBw19KMAAAABqieM/38AAAAAAAAAAAAAwOfoiwAAAAAAAAAAAAAAABAcNfSjAAAAcN6VPRkCAAAr1CuM/38AAOAbNfSjAAAAkBw19KMAAAAwPIBEGQIAAAAAAABkdgAIAAAAACUAAAAMAAAABAAAABgAAAAMAAAAAAAAAhIAAAAMAAAAAQAAAB4AAAAYAAAAKQAAADMAAAAvAAAASAAAACUAAAAMAAAABAAAAFQAAABUAAAAKgAAADMAAAAtAAAARwAAAAEAAAAA4KtC5DisQi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957FB-CD45-457C-845E-3CF51EA8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2714</Words>
  <Characters>15474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Arabadzhova</dc:creator>
  <cp:keywords/>
  <dc:description/>
  <cp:lastModifiedBy>Maria Varbanova</cp:lastModifiedBy>
  <cp:revision>10</cp:revision>
  <cp:lastPrinted>2024-08-22T13:14:00Z</cp:lastPrinted>
  <dcterms:created xsi:type="dcterms:W3CDTF">2026-03-12T07:58:00Z</dcterms:created>
  <dcterms:modified xsi:type="dcterms:W3CDTF">2026-03-12T11:19:00Z</dcterms:modified>
</cp:coreProperties>
</file>