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D0" w:rsidRDefault="00267ED0"/>
    <w:p w:rsidR="00723B69" w:rsidRDefault="00723B69"/>
    <w:p w:rsidR="00267ED0" w:rsidRPr="00107C33" w:rsidRDefault="00267ED0" w:rsidP="00267ED0">
      <w:pPr>
        <w:jc w:val="center"/>
        <w:rPr>
          <w:rFonts w:ascii="Times New Roman" w:hAnsi="Times New Roman" w:cs="Times New Roman"/>
          <w:b/>
        </w:rPr>
      </w:pPr>
      <w:r w:rsidRPr="00107C33">
        <w:rPr>
          <w:rFonts w:ascii="Times New Roman" w:hAnsi="Times New Roman" w:cs="Times New Roman"/>
          <w:b/>
        </w:rPr>
        <w:t>О Т Ч Е Т</w:t>
      </w:r>
    </w:p>
    <w:p w:rsidR="00267ED0" w:rsidRPr="00107C33" w:rsidRDefault="00267ED0" w:rsidP="00267ED0">
      <w:pPr>
        <w:jc w:val="center"/>
        <w:rPr>
          <w:rFonts w:ascii="Times New Roman" w:hAnsi="Times New Roman" w:cs="Times New Roman"/>
          <w:b/>
        </w:rPr>
      </w:pPr>
      <w:r w:rsidRPr="00107C33">
        <w:rPr>
          <w:rFonts w:ascii="Times New Roman" w:hAnsi="Times New Roman" w:cs="Times New Roman"/>
          <w:b/>
        </w:rPr>
        <w:t>ЗА ИЗПЪЛНЕНИЕ</w:t>
      </w:r>
      <w:r w:rsidR="005A3533" w:rsidRPr="00107C33">
        <w:rPr>
          <w:rFonts w:ascii="Times New Roman" w:hAnsi="Times New Roman" w:cs="Times New Roman"/>
          <w:b/>
        </w:rPr>
        <w:t xml:space="preserve">ТО НА </w:t>
      </w:r>
      <w:r w:rsidR="00A91F35" w:rsidRPr="00107C33">
        <w:rPr>
          <w:rFonts w:ascii="Times New Roman" w:hAnsi="Times New Roman" w:cs="Times New Roman"/>
          <w:b/>
        </w:rPr>
        <w:t xml:space="preserve">ПРОГРАМНИЯ </w:t>
      </w:r>
      <w:r w:rsidR="005A3533" w:rsidRPr="00107C33">
        <w:rPr>
          <w:rFonts w:ascii="Times New Roman" w:hAnsi="Times New Roman" w:cs="Times New Roman"/>
          <w:b/>
        </w:rPr>
        <w:t>БЮДЖЕТ КЪМ 3</w:t>
      </w:r>
      <w:r w:rsidR="000602D4">
        <w:rPr>
          <w:rFonts w:ascii="Times New Roman" w:hAnsi="Times New Roman" w:cs="Times New Roman"/>
          <w:b/>
          <w:lang w:val="en-US"/>
        </w:rPr>
        <w:t>1</w:t>
      </w:r>
      <w:r w:rsidRPr="00107C33">
        <w:rPr>
          <w:rFonts w:ascii="Times New Roman" w:hAnsi="Times New Roman" w:cs="Times New Roman"/>
          <w:b/>
        </w:rPr>
        <w:t>.</w:t>
      </w:r>
      <w:r w:rsidR="000602D4">
        <w:rPr>
          <w:rFonts w:ascii="Times New Roman" w:hAnsi="Times New Roman" w:cs="Times New Roman"/>
          <w:b/>
          <w:lang w:val="en-US"/>
        </w:rPr>
        <w:t>12</w:t>
      </w:r>
      <w:r w:rsidRPr="00107C33">
        <w:rPr>
          <w:rFonts w:ascii="Times New Roman" w:hAnsi="Times New Roman" w:cs="Times New Roman"/>
          <w:b/>
        </w:rPr>
        <w:t>.202</w:t>
      </w:r>
      <w:r w:rsidR="0019315F">
        <w:rPr>
          <w:rFonts w:ascii="Times New Roman" w:hAnsi="Times New Roman" w:cs="Times New Roman"/>
          <w:b/>
        </w:rPr>
        <w:t>3</w:t>
      </w:r>
      <w:r w:rsidRPr="00107C33">
        <w:rPr>
          <w:rFonts w:ascii="Times New Roman" w:hAnsi="Times New Roman" w:cs="Times New Roman"/>
          <w:b/>
        </w:rPr>
        <w:t xml:space="preserve"> </w:t>
      </w:r>
      <w:r w:rsidR="003343D8" w:rsidRPr="00107C33">
        <w:rPr>
          <w:rFonts w:ascii="Times New Roman" w:hAnsi="Times New Roman" w:cs="Times New Roman"/>
          <w:b/>
        </w:rPr>
        <w:t>г</w:t>
      </w:r>
      <w:r w:rsidRPr="00107C33">
        <w:rPr>
          <w:rFonts w:ascii="Times New Roman" w:hAnsi="Times New Roman" w:cs="Times New Roman"/>
          <w:b/>
        </w:rPr>
        <w:t>.</w:t>
      </w:r>
    </w:p>
    <w:p w:rsidR="00267ED0" w:rsidRPr="00107C33" w:rsidRDefault="00267ED0" w:rsidP="00267ED0">
      <w:pPr>
        <w:jc w:val="center"/>
        <w:rPr>
          <w:rFonts w:ascii="Times New Roman" w:hAnsi="Times New Roman" w:cs="Times New Roman"/>
          <w:b/>
        </w:rPr>
      </w:pPr>
      <w:r w:rsidRPr="00107C33">
        <w:rPr>
          <w:rFonts w:ascii="Times New Roman" w:hAnsi="Times New Roman" w:cs="Times New Roman"/>
          <w:b/>
        </w:rPr>
        <w:t>НА НАЦИОНАЛН</w:t>
      </w:r>
      <w:r w:rsidR="00107C33" w:rsidRPr="00107C33">
        <w:rPr>
          <w:rFonts w:ascii="Times New Roman" w:hAnsi="Times New Roman" w:cs="Times New Roman"/>
          <w:b/>
        </w:rPr>
        <w:t>ИЯ</w:t>
      </w:r>
      <w:r w:rsidRPr="00107C33">
        <w:rPr>
          <w:rFonts w:ascii="Times New Roman" w:hAnsi="Times New Roman" w:cs="Times New Roman"/>
          <w:b/>
        </w:rPr>
        <w:t xml:space="preserve"> СТАТИСТИЧЕСКИ ИНСТИТУТ</w:t>
      </w:r>
    </w:p>
    <w:p w:rsidR="00267ED0" w:rsidRDefault="00267ED0"/>
    <w:p w:rsidR="00017766" w:rsidRDefault="00017766"/>
    <w:tbl>
      <w:tblPr>
        <w:tblW w:w="930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099"/>
        <w:gridCol w:w="1169"/>
        <w:gridCol w:w="941"/>
      </w:tblGrid>
      <w:tr w:rsidR="004B534A" w:rsidRPr="00CC0AB2" w:rsidTr="003F31E3">
        <w:trPr>
          <w:trHeight w:val="315"/>
        </w:trPr>
        <w:tc>
          <w:tcPr>
            <w:tcW w:w="9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34A" w:rsidRPr="003F31E3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 на приходите по бюджета</w:t>
            </w:r>
          </w:p>
          <w:p w:rsidR="00017766" w:rsidRPr="003F31E3" w:rsidRDefault="00017766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B534A" w:rsidRPr="004B534A" w:rsidTr="003F31E3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4B534A" w:rsidRPr="004B534A" w:rsidRDefault="004B534A" w:rsidP="003F31E3">
            <w:pPr>
              <w:spacing w:after="0" w:line="240" w:lineRule="auto"/>
              <w:ind w:left="3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ПРИХОДИ</w:t>
            </w: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  <w:t>(в лева)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4B534A" w:rsidRPr="004B534A" w:rsidRDefault="004B534A" w:rsidP="004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Закон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4B534A" w:rsidRPr="004B534A" w:rsidRDefault="004B534A" w:rsidP="004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Уточнен план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4B534A" w:rsidRPr="004B534A" w:rsidRDefault="004B534A" w:rsidP="004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Отчет</w:t>
            </w:r>
          </w:p>
        </w:tc>
      </w:tr>
      <w:tr w:rsidR="004B534A" w:rsidRPr="004B534A" w:rsidTr="003F31E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Общо приходи: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4B534A" w:rsidRDefault="005A3533" w:rsidP="004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950 000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3A0EA5" w:rsidRDefault="003A0EA5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bg-BG"/>
              </w:rPr>
              <w:t>950 000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7A270A" w:rsidRDefault="003A0EA5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bg-BG"/>
              </w:rPr>
              <w:t>415 671</w:t>
            </w:r>
          </w:p>
        </w:tc>
      </w:tr>
      <w:tr w:rsidR="004B534A" w:rsidRPr="004B534A" w:rsidTr="003F31E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  <w:t>Данъчни приходи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277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3A0EA5" w:rsidRDefault="003A0EA5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850 000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7A270A" w:rsidRDefault="003A0EA5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400 367</w:t>
            </w:r>
          </w:p>
        </w:tc>
      </w:tr>
      <w:tr w:rsidR="004B534A" w:rsidRPr="004B534A" w:rsidTr="003F31E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5A3533" w:rsidRDefault="004B534A" w:rsidP="004B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5A353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Неданъчни приходи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5A3533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2774A1" w:rsidRDefault="003A0EA5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7 179</w:t>
            </w:r>
          </w:p>
        </w:tc>
      </w:tr>
      <w:tr w:rsidR="004B534A" w:rsidRPr="004B534A" w:rsidTr="003F31E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Приходи и доходи от собственост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3A0EA5" w:rsidRDefault="003A0EA5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100 000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2774A1" w:rsidRDefault="003A0EA5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103 200</w:t>
            </w:r>
          </w:p>
        </w:tc>
      </w:tr>
      <w:tr w:rsidR="004B534A" w:rsidRPr="004B534A" w:rsidTr="003F31E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Държавни такси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4B534A" w:rsidRPr="004B534A" w:rsidTr="003F31E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Глоби, санкции и наказателни лихви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3A0EA5" w:rsidRDefault="003A0EA5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2 796</w:t>
            </w:r>
          </w:p>
        </w:tc>
      </w:tr>
      <w:tr w:rsidR="004B534A" w:rsidRPr="004B534A" w:rsidTr="003F31E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Приходи от концесии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4B534A" w:rsidRPr="004B534A" w:rsidTr="003A0EA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Други /ДДС/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4A" w:rsidRPr="003A0EA5" w:rsidRDefault="003A0EA5" w:rsidP="003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    -97 871</w:t>
            </w:r>
          </w:p>
        </w:tc>
      </w:tr>
      <w:tr w:rsidR="004B534A" w:rsidRPr="004B534A" w:rsidTr="003F31E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Помощи, дарения и други безвъзмездно получени суми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E01E12" w:rsidRDefault="00E01E12" w:rsidP="001A59F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125DD9" w:rsidRPr="000602D4" w:rsidRDefault="006C08FC" w:rsidP="00125DD9">
      <w:pPr>
        <w:spacing w:after="12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31E3">
        <w:rPr>
          <w:rFonts w:ascii="Times New Roman" w:hAnsi="Times New Roman" w:cs="Times New Roman"/>
          <w:sz w:val="24"/>
          <w:szCs w:val="24"/>
        </w:rPr>
        <w:t>Основната част от собствените приходи на НСИ се формират от продажба на статистическа информация, издаване на удостоверения</w:t>
      </w:r>
      <w:r w:rsidR="006D3AC0">
        <w:rPr>
          <w:rFonts w:ascii="Times New Roman" w:hAnsi="Times New Roman" w:cs="Times New Roman"/>
          <w:sz w:val="24"/>
          <w:szCs w:val="24"/>
        </w:rPr>
        <w:t xml:space="preserve"> за код за икономическа дейност,</w:t>
      </w:r>
      <w:r w:rsidRPr="003F31E3">
        <w:rPr>
          <w:rFonts w:ascii="Times New Roman" w:hAnsi="Times New Roman" w:cs="Times New Roman"/>
          <w:sz w:val="24"/>
          <w:szCs w:val="24"/>
        </w:rPr>
        <w:t xml:space="preserve"> заверени копия на годишни отчети от предходни години</w:t>
      </w:r>
      <w:r w:rsidR="004A7054">
        <w:rPr>
          <w:rFonts w:ascii="Times New Roman" w:hAnsi="Times New Roman" w:cs="Times New Roman"/>
          <w:sz w:val="24"/>
          <w:szCs w:val="24"/>
        </w:rPr>
        <w:t>, наеми</w:t>
      </w:r>
      <w:r w:rsidRPr="003F31E3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81FC8" w:rsidRPr="004D7384">
        <w:rPr>
          <w:rFonts w:ascii="Times New Roman" w:hAnsi="Times New Roman" w:cs="Times New Roman"/>
          <w:sz w:val="24"/>
          <w:szCs w:val="24"/>
        </w:rPr>
        <w:t xml:space="preserve">Друга част от приходите се формира от  провеждане на международни и други обучения и мероприятия в Учебна база </w:t>
      </w:r>
      <w:r w:rsidR="00581FC8" w:rsidRPr="004D738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81FC8" w:rsidRPr="004D7384">
        <w:rPr>
          <w:rFonts w:ascii="Times New Roman" w:hAnsi="Times New Roman" w:cs="Times New Roman"/>
          <w:sz w:val="24"/>
          <w:szCs w:val="24"/>
        </w:rPr>
        <w:t>Сливек</w:t>
      </w:r>
      <w:r w:rsidR="00581FC8" w:rsidRPr="004D7384"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="004A7054" w:rsidRPr="004D7384">
        <w:rPr>
          <w:rFonts w:ascii="Times New Roman" w:hAnsi="Times New Roman" w:cs="Times New Roman"/>
          <w:sz w:val="24"/>
          <w:szCs w:val="24"/>
        </w:rPr>
        <w:t xml:space="preserve"> Международни обучения и мероприятия</w:t>
      </w:r>
      <w:r w:rsidR="00BD37A4" w:rsidRPr="004D7384">
        <w:rPr>
          <w:rFonts w:ascii="Times New Roman" w:hAnsi="Times New Roman" w:cs="Times New Roman"/>
          <w:sz w:val="24"/>
          <w:szCs w:val="24"/>
        </w:rPr>
        <w:t xml:space="preserve"> към момента не са провеждани</w:t>
      </w:r>
      <w:r w:rsidR="000602D4" w:rsidRPr="004D73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37A4" w:rsidRDefault="00157371" w:rsidP="004A7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Всички приходи в системата постъпват по сметката на НСИ в БНБ и се отчитат съгласно действащата бюджетна класификация. Към 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0602D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602D4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1931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година реализираните приходи и доходи от собственост  на НСИ са в размер</w:t>
      </w:r>
      <w:r w:rsidR="00D45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45F96" w:rsidRPr="00387C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103 200 </w:t>
      </w:r>
      <w:r w:rsidRPr="00387CA2">
        <w:rPr>
          <w:rFonts w:ascii="Times New Roman" w:eastAsia="Times New Roman" w:hAnsi="Times New Roman" w:cs="Times New Roman"/>
          <w:sz w:val="24"/>
          <w:szCs w:val="24"/>
        </w:rPr>
        <w:t>лева и представляват</w:t>
      </w:r>
      <w:r w:rsidRPr="00387C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73B26" w:rsidRPr="00387CA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45F96" w:rsidRPr="00387CA2">
        <w:rPr>
          <w:rFonts w:ascii="Times New Roman" w:eastAsia="Times New Roman" w:hAnsi="Times New Roman" w:cs="Times New Roman"/>
          <w:sz w:val="24"/>
          <w:szCs w:val="24"/>
          <w:lang w:val="en-US"/>
        </w:rPr>
        <w:t>3,2%</w:t>
      </w:r>
      <w:r w:rsidRPr="0038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B26" w:rsidRPr="00387CA2">
        <w:rPr>
          <w:rFonts w:ascii="Times New Roman" w:eastAsia="Times New Roman" w:hAnsi="Times New Roman" w:cs="Times New Roman"/>
          <w:sz w:val="24"/>
          <w:szCs w:val="24"/>
        </w:rPr>
        <w:t>преизпълнение</w:t>
      </w:r>
      <w:r w:rsidR="00AD1FD9" w:rsidRPr="00387CA2">
        <w:rPr>
          <w:rFonts w:ascii="Times New Roman" w:eastAsia="Times New Roman" w:hAnsi="Times New Roman" w:cs="Times New Roman"/>
          <w:sz w:val="24"/>
          <w:szCs w:val="24"/>
        </w:rPr>
        <w:t xml:space="preserve"> на п</w:t>
      </w:r>
      <w:r w:rsidRPr="00387CA2">
        <w:rPr>
          <w:rFonts w:ascii="Times New Roman" w:eastAsia="Times New Roman" w:hAnsi="Times New Roman" w:cs="Times New Roman"/>
          <w:sz w:val="24"/>
          <w:szCs w:val="24"/>
        </w:rPr>
        <w:t>ланираните приходи</w:t>
      </w:r>
      <w:r w:rsidRPr="00387CA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Приходите от продажба на услуги, стоки и продукция към 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0602D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602D4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31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3A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г. са в размер на</w:t>
      </w:r>
      <w:r w:rsidR="00853E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400 367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лева</w:t>
      </w:r>
      <w:r w:rsidR="00073B26">
        <w:rPr>
          <w:rFonts w:ascii="Times New Roman" w:eastAsia="Times New Roman" w:hAnsi="Times New Roman" w:cs="Times New Roman"/>
          <w:sz w:val="24"/>
          <w:szCs w:val="24"/>
        </w:rPr>
        <w:t xml:space="preserve"> или в процентно изражение 47,10% от планираните приходи.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Цялостното изпълнение на приходната част към 3</w:t>
      </w:r>
      <w:r w:rsidR="000602D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02D4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31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г. е в размер на</w:t>
      </w:r>
      <w:r w:rsidR="00B75E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</w:t>
      </w:r>
      <w:r w:rsidR="002C40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%</w:t>
      </w:r>
      <w:r w:rsidR="002178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7A4" w:rsidRDefault="00BD37A4" w:rsidP="004A7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054" w:rsidRPr="00362A15" w:rsidRDefault="00157371" w:rsidP="004A7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054" w:rsidRPr="00387CA2">
        <w:rPr>
          <w:rFonts w:ascii="Times New Roman" w:eastAsia="Times New Roman" w:hAnsi="Times New Roman" w:cs="Times New Roman"/>
          <w:sz w:val="24"/>
          <w:szCs w:val="24"/>
        </w:rPr>
        <w:t>Разликата в показателите на изпълнението на параграф 24-00</w:t>
      </w:r>
      <w:r w:rsidR="00B75ED8" w:rsidRPr="00387CA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2C4016" w:rsidRPr="00387CA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BD37A4" w:rsidRPr="00387CA2">
        <w:rPr>
          <w:rFonts w:ascii="Times New Roman" w:eastAsia="Times New Roman" w:hAnsi="Times New Roman" w:cs="Times New Roman"/>
          <w:sz w:val="24"/>
          <w:szCs w:val="24"/>
        </w:rPr>
        <w:t>%</w:t>
      </w:r>
      <w:r w:rsidR="004A7054" w:rsidRPr="00387CA2">
        <w:rPr>
          <w:rFonts w:ascii="Times New Roman" w:eastAsia="Times New Roman" w:hAnsi="Times New Roman" w:cs="Times New Roman"/>
          <w:sz w:val="24"/>
          <w:szCs w:val="24"/>
        </w:rPr>
        <w:t xml:space="preserve">  и общото изпълнение на приходите</w:t>
      </w:r>
      <w:r w:rsidR="00B75ED8" w:rsidRPr="00387CA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C426B" w:rsidRPr="00387CA2">
        <w:rPr>
          <w:rFonts w:ascii="Times New Roman" w:eastAsia="Times New Roman" w:hAnsi="Times New Roman" w:cs="Times New Roman"/>
          <w:sz w:val="24"/>
          <w:szCs w:val="24"/>
        </w:rPr>
        <w:t>43</w:t>
      </w:r>
      <w:r w:rsidR="00BD37A4" w:rsidRPr="00387CA2">
        <w:rPr>
          <w:rFonts w:ascii="Times New Roman" w:eastAsia="Times New Roman" w:hAnsi="Times New Roman" w:cs="Times New Roman"/>
          <w:sz w:val="24"/>
          <w:szCs w:val="24"/>
        </w:rPr>
        <w:t>,7</w:t>
      </w:r>
      <w:r w:rsidR="008C426B" w:rsidRPr="00387CA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A7054" w:rsidRPr="00387CA2">
        <w:rPr>
          <w:rFonts w:ascii="Times New Roman" w:eastAsia="Times New Roman" w:hAnsi="Times New Roman" w:cs="Times New Roman"/>
          <w:sz w:val="24"/>
          <w:szCs w:val="24"/>
        </w:rPr>
        <w:t>% в процентно съотношение, се дължи на обстоятелството</w:t>
      </w:r>
      <w:r w:rsidR="00B75ED8" w:rsidRPr="00387CA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A7054" w:rsidRPr="00387CA2">
        <w:rPr>
          <w:rFonts w:ascii="Times New Roman" w:eastAsia="Times New Roman" w:hAnsi="Times New Roman" w:cs="Times New Roman"/>
          <w:sz w:val="24"/>
          <w:szCs w:val="24"/>
        </w:rPr>
        <w:t xml:space="preserve"> че платения от НСИ</w:t>
      </w:r>
      <w:r w:rsidR="00387CA2" w:rsidRPr="0038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054" w:rsidRPr="00387CA2">
        <w:rPr>
          <w:rFonts w:ascii="Times New Roman" w:eastAsia="Times New Roman" w:hAnsi="Times New Roman" w:cs="Times New Roman"/>
          <w:sz w:val="24"/>
          <w:szCs w:val="24"/>
        </w:rPr>
        <w:t>ДДС и данъка върху приходите съгл. ЗКПО са отчетени по подпараграфи 37-01 и 37-02</w:t>
      </w:r>
      <w:r w:rsidR="004A7054" w:rsidRPr="00387C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A7054" w:rsidRPr="00387CA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7054" w:rsidRPr="00387C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A7054" w:rsidRPr="00387CA2">
        <w:rPr>
          <w:rFonts w:ascii="Times New Roman" w:eastAsia="Times New Roman" w:hAnsi="Times New Roman" w:cs="Times New Roman"/>
          <w:sz w:val="24"/>
          <w:szCs w:val="24"/>
        </w:rPr>
        <w:t>отрицателни знаци и намаляват общо изпълнението на приходната част.</w:t>
      </w:r>
      <w:r w:rsidR="004A7054" w:rsidRPr="00362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7371" w:rsidRPr="003F31E3" w:rsidRDefault="00157371" w:rsidP="00125DD9">
      <w:pPr>
        <w:spacing w:after="12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EBE" w:rsidRDefault="00223EBE" w:rsidP="006A0F8C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4018"/>
        <w:gridCol w:w="1275"/>
        <w:gridCol w:w="1134"/>
        <w:gridCol w:w="1138"/>
      </w:tblGrid>
      <w:tr w:rsidR="00644CBC" w:rsidRPr="00CC0AB2" w:rsidTr="003F31E3">
        <w:trPr>
          <w:trHeight w:val="255"/>
        </w:trPr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CBC" w:rsidRPr="003F31E3" w:rsidRDefault="00644CBC" w:rsidP="0064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Отчет на разходите по бюджета на ПРБ по области на политики/функционални области и бюджетни програми</w:t>
            </w:r>
          </w:p>
          <w:p w:rsidR="00017766" w:rsidRPr="003F31E3" w:rsidRDefault="00017766" w:rsidP="0064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644CBC" w:rsidRPr="00644CBC" w:rsidTr="00C111EE">
        <w:trPr>
          <w:trHeight w:val="101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Класификационен код*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РАЗХОДИ </w:t>
            </w: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  <w:t>(в лева)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Уточнен план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Отчет</w:t>
            </w:r>
          </w:p>
        </w:tc>
      </w:tr>
      <w:tr w:rsidR="00644CBC" w:rsidRPr="00644CBC" w:rsidTr="00C111EE">
        <w:trPr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4100.00.00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Общо разходи по бюджета на ПРБ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C03171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30 812 600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090D5A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30 870 504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090D5A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30 565 980</w:t>
            </w:r>
            <w:r w:rsidR="00644CBC" w:rsidRPr="0064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44CBC" w:rsidRPr="00644CBC" w:rsidTr="00C111EE">
        <w:trPr>
          <w:trHeight w:val="10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4100.01.00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644CBC" w:rsidRDefault="00A91F35" w:rsidP="00A9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 w:rsidDel="00A91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Функционална област</w:t>
            </w:r>
            <w:r w:rsidRPr="00644CBC" w:rsidDel="00A91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="00644CBC"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„ 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44CBC" w:rsidRPr="00644CBC" w:rsidRDefault="00C03171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30 812 600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644CBC" w:rsidRDefault="00090D5A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30 870 504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090D5A" w:rsidRDefault="00090D5A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30 565 980</w:t>
            </w:r>
          </w:p>
        </w:tc>
      </w:tr>
      <w:tr w:rsidR="00644CBC" w:rsidRPr="00644CBC" w:rsidTr="00C111EE">
        <w:trPr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50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Бюджетна програма</w:t>
            </w:r>
            <w:r w:rsidR="00507DE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"Национална статистическа програма"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C03171" w:rsidRDefault="00C03171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30 812 600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090D5A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30 870 504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090D5A" w:rsidRDefault="00090D5A" w:rsidP="0071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30 565 980</w:t>
            </w:r>
          </w:p>
        </w:tc>
      </w:tr>
    </w:tbl>
    <w:p w:rsidR="00644CBC" w:rsidRDefault="00644CBC"/>
    <w:p w:rsidR="00365C3C" w:rsidRPr="003F31E3" w:rsidRDefault="00F01E7B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Разходите по </w:t>
      </w:r>
      <w:r w:rsidR="00107C3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юджетна програма</w:t>
      </w:r>
      <w:r w:rsidR="0010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"Национална статистическа програма" към 3</w:t>
      </w:r>
      <w:r w:rsidR="002543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43A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931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г. са</w:t>
      </w:r>
      <w:r w:rsidR="00221678" w:rsidRPr="003F31E3">
        <w:rPr>
          <w:rFonts w:ascii="Times New Roman" w:eastAsia="Times New Roman" w:hAnsi="Times New Roman" w:cs="Times New Roman"/>
          <w:sz w:val="24"/>
          <w:szCs w:val="24"/>
        </w:rPr>
        <w:t xml:space="preserve"> ведомствени разходи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в размер на</w:t>
      </w:r>
      <w:r w:rsidR="002543A6">
        <w:rPr>
          <w:rFonts w:ascii="Times New Roman" w:eastAsia="Times New Roman" w:hAnsi="Times New Roman" w:cs="Times New Roman"/>
          <w:sz w:val="24"/>
          <w:szCs w:val="24"/>
        </w:rPr>
        <w:t xml:space="preserve"> 30 565 980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756236" w:rsidRPr="003F31E3">
        <w:rPr>
          <w:rFonts w:ascii="Times New Roman" w:eastAsia="Times New Roman" w:hAnsi="Times New Roman" w:cs="Times New Roman"/>
          <w:sz w:val="24"/>
          <w:szCs w:val="24"/>
        </w:rPr>
        <w:t xml:space="preserve"> и включват</w:t>
      </w:r>
      <w:r w:rsidR="00706645" w:rsidRPr="003F31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1E7B" w:rsidRPr="003F31E3" w:rsidRDefault="00756236" w:rsidP="002A4E03">
      <w:pPr>
        <w:pStyle w:val="ListParagraph"/>
        <w:numPr>
          <w:ilvl w:val="0"/>
          <w:numId w:val="12"/>
        </w:numPr>
        <w:spacing w:after="120" w:line="24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азходи за </w:t>
      </w:r>
      <w:r w:rsidR="00706645" w:rsidRPr="003F31E3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в размер на</w:t>
      </w:r>
      <w:r w:rsidR="00086B5A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EA2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B5A">
        <w:rPr>
          <w:rFonts w:ascii="Times New Roman" w:eastAsia="Times New Roman" w:hAnsi="Times New Roman" w:cs="Times New Roman"/>
          <w:sz w:val="24"/>
          <w:szCs w:val="24"/>
        </w:rPr>
        <w:t>052 931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</w:t>
      </w:r>
      <w:r w:rsidR="00EA2133">
        <w:rPr>
          <w:rFonts w:ascii="Times New Roman" w:eastAsia="Times New Roman" w:hAnsi="Times New Roman" w:cs="Times New Roman"/>
          <w:sz w:val="24"/>
          <w:szCs w:val="24"/>
        </w:rPr>
        <w:t>.;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7EC7" w:rsidRPr="003F31E3" w:rsidRDefault="00756236" w:rsidP="002A4E03">
      <w:pPr>
        <w:pStyle w:val="ListParagraph"/>
        <w:numPr>
          <w:ilvl w:val="0"/>
          <w:numId w:val="12"/>
        </w:numPr>
        <w:spacing w:after="120" w:line="24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азходи</w:t>
      </w:r>
      <w:r w:rsidR="002A4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за издръжка в размер на</w:t>
      </w:r>
      <w:r w:rsidR="00EA2133">
        <w:rPr>
          <w:rFonts w:ascii="Times New Roman" w:eastAsia="Times New Roman" w:hAnsi="Times New Roman" w:cs="Times New Roman"/>
          <w:sz w:val="24"/>
          <w:szCs w:val="24"/>
        </w:rPr>
        <w:t xml:space="preserve"> 3 870 140</w:t>
      </w:r>
      <w:r w:rsidR="00663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лева, като най-голям дял от разходите за издръжка заемат разходите за външни услуги</w:t>
      </w:r>
      <w:r w:rsidR="00EA2133">
        <w:rPr>
          <w:rFonts w:ascii="Times New Roman" w:eastAsia="Times New Roman" w:hAnsi="Times New Roman" w:cs="Times New Roman"/>
          <w:sz w:val="24"/>
          <w:szCs w:val="24"/>
        </w:rPr>
        <w:t xml:space="preserve"> 2 169 388</w:t>
      </w:r>
      <w:r w:rsidR="00B60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лв., </w:t>
      </w:r>
      <w:r w:rsidR="00267EC7" w:rsidRPr="003F31E3">
        <w:rPr>
          <w:rFonts w:ascii="Times New Roman" w:eastAsia="Times New Roman" w:hAnsi="Times New Roman" w:cs="Times New Roman"/>
          <w:sz w:val="24"/>
          <w:szCs w:val="24"/>
        </w:rPr>
        <w:t>от които абонаментна поддръжка</w:t>
      </w:r>
      <w:r w:rsidR="00E03785" w:rsidRPr="003F3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разходи за поддръжка на софтуер и хардуер,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разходи за пощенски,</w:t>
      </w:r>
      <w:r w:rsidR="00E03785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мобилни и стационарни телефонни услуги и други</w:t>
      </w:r>
      <w:r w:rsidR="00EA21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1E7B" w:rsidRPr="00C225E1" w:rsidRDefault="00C225E1" w:rsidP="002A4E03">
      <w:pPr>
        <w:pStyle w:val="ListParagraph"/>
        <w:numPr>
          <w:ilvl w:val="0"/>
          <w:numId w:val="12"/>
        </w:numPr>
        <w:spacing w:after="120" w:line="24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0AB2" w:rsidRPr="00C225E1">
        <w:rPr>
          <w:rFonts w:ascii="Times New Roman" w:eastAsia="Times New Roman" w:hAnsi="Times New Roman" w:cs="Times New Roman"/>
          <w:sz w:val="24"/>
          <w:szCs w:val="24"/>
        </w:rPr>
        <w:t xml:space="preserve">азходите </w:t>
      </w:r>
      <w:r w:rsidR="00F01E7B" w:rsidRPr="00C225E1">
        <w:rPr>
          <w:rFonts w:ascii="Times New Roman" w:eastAsia="Times New Roman" w:hAnsi="Times New Roman" w:cs="Times New Roman"/>
          <w:sz w:val="24"/>
          <w:szCs w:val="24"/>
        </w:rPr>
        <w:t>за данъци, такси и административни санкции са в размер на</w:t>
      </w:r>
      <w:r w:rsidR="00EA2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1FB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EA2133">
        <w:rPr>
          <w:rFonts w:ascii="Times New Roman" w:eastAsia="Times New Roman" w:hAnsi="Times New Roman" w:cs="Times New Roman"/>
          <w:sz w:val="24"/>
          <w:szCs w:val="24"/>
        </w:rPr>
        <w:t>95 637</w:t>
      </w:r>
      <w:r w:rsidR="00F01E7B" w:rsidRPr="00C225E1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  <w:r w:rsidR="00EA213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01E7B" w:rsidRPr="00C2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E7B" w:rsidRPr="00C225E1" w:rsidRDefault="00C225E1" w:rsidP="002A4E03">
      <w:pPr>
        <w:pStyle w:val="ListParagraph"/>
        <w:numPr>
          <w:ilvl w:val="0"/>
          <w:numId w:val="12"/>
        </w:numPr>
        <w:spacing w:after="120" w:line="24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0AB2" w:rsidRPr="00C225E1">
        <w:rPr>
          <w:rFonts w:ascii="Times New Roman" w:eastAsia="Times New Roman" w:hAnsi="Times New Roman" w:cs="Times New Roman"/>
          <w:sz w:val="24"/>
          <w:szCs w:val="24"/>
        </w:rPr>
        <w:t xml:space="preserve">азходите </w:t>
      </w:r>
      <w:r w:rsidR="00F01E7B" w:rsidRPr="00C225E1">
        <w:rPr>
          <w:rFonts w:ascii="Times New Roman" w:eastAsia="Times New Roman" w:hAnsi="Times New Roman" w:cs="Times New Roman"/>
          <w:sz w:val="24"/>
          <w:szCs w:val="24"/>
        </w:rPr>
        <w:t xml:space="preserve">за членски внос са в размер на </w:t>
      </w:r>
      <w:r w:rsidR="00740653" w:rsidRPr="00C225E1">
        <w:rPr>
          <w:rFonts w:ascii="Times New Roman" w:eastAsia="Times New Roman" w:hAnsi="Times New Roman" w:cs="Times New Roman"/>
          <w:sz w:val="24"/>
          <w:szCs w:val="24"/>
          <w:lang w:val="en-US"/>
        </w:rPr>
        <w:t>50 011</w:t>
      </w:r>
      <w:r w:rsidR="00F01E7B" w:rsidRPr="00C225E1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  <w:r w:rsidR="00EA213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01E7B" w:rsidRPr="00C2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E7B" w:rsidRPr="00C225E1" w:rsidRDefault="00C225E1" w:rsidP="002A4E03">
      <w:pPr>
        <w:pStyle w:val="ListParagraph"/>
        <w:numPr>
          <w:ilvl w:val="0"/>
          <w:numId w:val="12"/>
        </w:numPr>
        <w:spacing w:after="120" w:line="24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C0AB2" w:rsidRPr="00C225E1">
        <w:rPr>
          <w:rFonts w:ascii="Times New Roman" w:eastAsia="Times New Roman" w:hAnsi="Times New Roman" w:cs="Times New Roman"/>
          <w:sz w:val="24"/>
          <w:szCs w:val="24"/>
        </w:rPr>
        <w:t xml:space="preserve">апиталовите </w:t>
      </w:r>
      <w:r w:rsidR="00F01E7B" w:rsidRPr="00C225E1">
        <w:rPr>
          <w:rFonts w:ascii="Times New Roman" w:eastAsia="Times New Roman" w:hAnsi="Times New Roman" w:cs="Times New Roman"/>
          <w:sz w:val="24"/>
          <w:szCs w:val="24"/>
        </w:rPr>
        <w:t>разходи в размер на</w:t>
      </w:r>
      <w:r w:rsidR="00EA2133">
        <w:rPr>
          <w:rFonts w:ascii="Times New Roman" w:eastAsia="Times New Roman" w:hAnsi="Times New Roman" w:cs="Times New Roman"/>
          <w:sz w:val="24"/>
          <w:szCs w:val="24"/>
        </w:rPr>
        <w:t xml:space="preserve"> 3 397 261</w:t>
      </w:r>
      <w:r w:rsidR="00F01E7B" w:rsidRPr="00C225E1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</w:p>
    <w:p w:rsidR="00F01E7B" w:rsidRPr="003F31E3" w:rsidRDefault="00F01E7B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E93" w:rsidRPr="00362A15" w:rsidRDefault="00B82788" w:rsidP="002A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юджетна програма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"Национална статистическа програма"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E93" w:rsidRPr="00362A15">
        <w:rPr>
          <w:rFonts w:ascii="Times New Roman" w:eastAsia="Times New Roman" w:hAnsi="Times New Roman" w:cs="Times New Roman"/>
          <w:sz w:val="24"/>
          <w:szCs w:val="24"/>
        </w:rPr>
        <w:t xml:space="preserve">обхваща </w:t>
      </w:r>
      <w:r w:rsidR="00E23004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дейности:</w:t>
      </w:r>
    </w:p>
    <w:p w:rsidR="00454E93" w:rsidRPr="00362A15" w:rsidRDefault="00454E93" w:rsidP="00454E93">
      <w:pPr>
        <w:spacing w:after="0" w:line="36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454E93" w:rsidRPr="00362A15" w:rsidRDefault="00454E93" w:rsidP="002A4E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15">
        <w:rPr>
          <w:rFonts w:ascii="Times New Roman" w:eastAsia="Times New Roman" w:hAnsi="Times New Roman" w:cs="Times New Roman"/>
          <w:b/>
          <w:sz w:val="24"/>
          <w:szCs w:val="24"/>
        </w:rPr>
        <w:t>Дейност 141</w:t>
      </w:r>
      <w:r w:rsidR="0073530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62A15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Статистически институт</w:t>
      </w:r>
      <w:r w:rsidRPr="00362A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362A15">
        <w:rPr>
          <w:rFonts w:ascii="Times New Roman" w:eastAsia="Times New Roman" w:hAnsi="Times New Roman" w:cs="Times New Roman"/>
          <w:b/>
          <w:sz w:val="24"/>
          <w:szCs w:val="24"/>
        </w:rPr>
        <w:t>служби и дейности,</w:t>
      </w:r>
      <w:r w:rsidRPr="00362A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62A15">
        <w:rPr>
          <w:rFonts w:ascii="Times New Roman" w:eastAsia="Times New Roman" w:hAnsi="Times New Roman" w:cs="Times New Roman"/>
          <w:b/>
          <w:sz w:val="24"/>
          <w:szCs w:val="24"/>
        </w:rPr>
        <w:t>социологически проучвания и анкети</w:t>
      </w:r>
    </w:p>
    <w:p w:rsidR="00454E93" w:rsidRDefault="00454E93" w:rsidP="002A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0">
        <w:rPr>
          <w:rFonts w:ascii="Times New Roman" w:eastAsia="Times New Roman" w:hAnsi="Times New Roman" w:cs="Times New Roman"/>
          <w:sz w:val="24"/>
          <w:szCs w:val="24"/>
        </w:rPr>
        <w:t>Разходите за тази дейност са в размер на</w:t>
      </w:r>
      <w:r w:rsidR="001B0E37">
        <w:rPr>
          <w:rFonts w:ascii="Times New Roman" w:eastAsia="Times New Roman" w:hAnsi="Times New Roman" w:cs="Times New Roman"/>
          <w:sz w:val="24"/>
          <w:szCs w:val="24"/>
        </w:rPr>
        <w:t xml:space="preserve"> 30 295 958</w:t>
      </w:r>
      <w:r w:rsidRPr="00F834F0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1B0E37">
        <w:rPr>
          <w:rFonts w:ascii="Times New Roman" w:eastAsia="Times New Roman" w:hAnsi="Times New Roman" w:cs="Times New Roman"/>
          <w:sz w:val="24"/>
          <w:szCs w:val="24"/>
        </w:rPr>
        <w:t xml:space="preserve"> и включват:</w:t>
      </w:r>
    </w:p>
    <w:p w:rsidR="00454E93" w:rsidRPr="002A4E03" w:rsidRDefault="001B0E37" w:rsidP="002A4E03">
      <w:pPr>
        <w:pStyle w:val="ListParagraph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E0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54E93" w:rsidRPr="002A4E03">
        <w:rPr>
          <w:rFonts w:ascii="Times New Roman" w:eastAsia="Times New Roman" w:hAnsi="Times New Roman" w:cs="Times New Roman"/>
          <w:sz w:val="24"/>
          <w:szCs w:val="24"/>
        </w:rPr>
        <w:t xml:space="preserve">азходи за </w:t>
      </w:r>
      <w:r w:rsidRPr="002A4E0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4E93" w:rsidRPr="002A4E03">
        <w:rPr>
          <w:rFonts w:ascii="Times New Roman" w:eastAsia="Times New Roman" w:hAnsi="Times New Roman" w:cs="Times New Roman"/>
          <w:sz w:val="24"/>
          <w:szCs w:val="24"/>
        </w:rPr>
        <w:t>ерсонал  в размер на</w:t>
      </w:r>
      <w:r w:rsidRPr="002A4E03">
        <w:rPr>
          <w:rFonts w:ascii="Times New Roman" w:eastAsia="Times New Roman" w:hAnsi="Times New Roman" w:cs="Times New Roman"/>
          <w:sz w:val="24"/>
          <w:szCs w:val="24"/>
        </w:rPr>
        <w:t xml:space="preserve"> 22 842 434</w:t>
      </w:r>
      <w:r w:rsidR="00454E93" w:rsidRPr="002A4E03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  <w:r w:rsidRPr="002A4E03">
        <w:rPr>
          <w:rFonts w:ascii="Times New Roman" w:eastAsia="Times New Roman" w:hAnsi="Times New Roman" w:cs="Times New Roman"/>
          <w:sz w:val="24"/>
          <w:szCs w:val="24"/>
        </w:rPr>
        <w:t>, формирани от р</w:t>
      </w:r>
      <w:r w:rsidR="00454E93" w:rsidRPr="002A4E03">
        <w:rPr>
          <w:rFonts w:ascii="Times New Roman" w:eastAsia="Times New Roman" w:hAnsi="Times New Roman" w:cs="Times New Roman"/>
          <w:sz w:val="24"/>
          <w:szCs w:val="24"/>
        </w:rPr>
        <w:t>азходи за заплати</w:t>
      </w:r>
      <w:r w:rsidRPr="002A4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E93" w:rsidRPr="002A4E03">
        <w:rPr>
          <w:rFonts w:ascii="Times New Roman" w:eastAsia="Times New Roman" w:hAnsi="Times New Roman" w:cs="Times New Roman"/>
          <w:sz w:val="24"/>
          <w:szCs w:val="24"/>
        </w:rPr>
        <w:t>в размер на</w:t>
      </w:r>
      <w:r w:rsidR="0067520B" w:rsidRPr="002A4E03">
        <w:rPr>
          <w:rFonts w:ascii="Times New Roman" w:eastAsia="Times New Roman" w:hAnsi="Times New Roman" w:cs="Times New Roman"/>
          <w:sz w:val="24"/>
          <w:szCs w:val="24"/>
        </w:rPr>
        <w:t xml:space="preserve"> 16 222 768 </w:t>
      </w:r>
      <w:r w:rsidR="00454E93" w:rsidRPr="002A4E03">
        <w:rPr>
          <w:rFonts w:ascii="Times New Roman" w:eastAsia="Times New Roman" w:hAnsi="Times New Roman" w:cs="Times New Roman"/>
          <w:sz w:val="24"/>
          <w:szCs w:val="24"/>
        </w:rPr>
        <w:t>лв.</w:t>
      </w:r>
      <w:r w:rsidR="0067520B" w:rsidRPr="002A4E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54E93" w:rsidRPr="002A4E03">
        <w:rPr>
          <w:rFonts w:ascii="Times New Roman" w:eastAsia="Times New Roman" w:hAnsi="Times New Roman" w:cs="Times New Roman"/>
          <w:sz w:val="24"/>
          <w:szCs w:val="24"/>
        </w:rPr>
        <w:t>изплатените възнаграждения на персонала нает по трудови и служебни правоотношения</w:t>
      </w:r>
      <w:r w:rsidR="0067520B" w:rsidRPr="002A4E03">
        <w:rPr>
          <w:rFonts w:ascii="Times New Roman" w:eastAsia="Times New Roman" w:hAnsi="Times New Roman" w:cs="Times New Roman"/>
          <w:sz w:val="24"/>
          <w:szCs w:val="24"/>
        </w:rPr>
        <w:t xml:space="preserve">; разходи </w:t>
      </w:r>
      <w:r w:rsidR="00454E93" w:rsidRPr="002A4E03">
        <w:rPr>
          <w:rFonts w:ascii="Times New Roman" w:eastAsia="Times New Roman" w:hAnsi="Times New Roman" w:cs="Times New Roman"/>
          <w:sz w:val="24"/>
          <w:szCs w:val="24"/>
        </w:rPr>
        <w:t>за други възнаграждения и плащания са в размер на</w:t>
      </w:r>
      <w:r w:rsidR="0067520B" w:rsidRPr="002A4E03">
        <w:rPr>
          <w:rFonts w:ascii="Times New Roman" w:eastAsia="Times New Roman" w:hAnsi="Times New Roman" w:cs="Times New Roman"/>
          <w:sz w:val="24"/>
          <w:szCs w:val="24"/>
        </w:rPr>
        <w:t xml:space="preserve"> 1 528 217 лева</w:t>
      </w:r>
      <w:r w:rsidR="00454E93" w:rsidRPr="002A4E03">
        <w:rPr>
          <w:rFonts w:ascii="Times New Roman" w:eastAsia="Times New Roman" w:hAnsi="Times New Roman" w:cs="Times New Roman"/>
          <w:sz w:val="24"/>
          <w:szCs w:val="24"/>
        </w:rPr>
        <w:t xml:space="preserve">. По този параграф са отчетени изплатените възнаграждения на служителите по 66-то ПМС,  персонал </w:t>
      </w:r>
      <w:r w:rsidR="0067520B" w:rsidRPr="002A4E03">
        <w:rPr>
          <w:rFonts w:ascii="Times New Roman" w:eastAsia="Times New Roman" w:hAnsi="Times New Roman" w:cs="Times New Roman"/>
          <w:sz w:val="24"/>
          <w:szCs w:val="24"/>
        </w:rPr>
        <w:t xml:space="preserve">нает </w:t>
      </w:r>
      <w:r w:rsidR="00454E93" w:rsidRPr="002A4E03">
        <w:rPr>
          <w:rFonts w:ascii="Times New Roman" w:eastAsia="Times New Roman" w:hAnsi="Times New Roman" w:cs="Times New Roman"/>
          <w:sz w:val="24"/>
          <w:szCs w:val="24"/>
        </w:rPr>
        <w:t>по извън трудови правоотношения</w:t>
      </w:r>
      <w:r w:rsidR="006901FB" w:rsidRPr="002A4E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54E93" w:rsidRPr="002A4E03">
        <w:rPr>
          <w:rFonts w:ascii="Times New Roman" w:eastAsia="Times New Roman" w:hAnsi="Times New Roman" w:cs="Times New Roman"/>
          <w:sz w:val="24"/>
          <w:szCs w:val="24"/>
        </w:rPr>
        <w:t>/вкл. анкетьори/, средства за представително облекло, средствата за СБКО, обезщетения, както и болничните за сметка на рабо</w:t>
      </w:r>
      <w:r w:rsidR="0067520B" w:rsidRPr="002A4E03">
        <w:rPr>
          <w:rFonts w:ascii="Times New Roman" w:eastAsia="Times New Roman" w:hAnsi="Times New Roman" w:cs="Times New Roman"/>
          <w:sz w:val="24"/>
          <w:szCs w:val="24"/>
        </w:rPr>
        <w:t>тодателя; р</w:t>
      </w:r>
      <w:r w:rsidR="00454E93" w:rsidRPr="002A4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азходите </w:t>
      </w:r>
      <w:r w:rsidR="00454E93" w:rsidRPr="002A4E03">
        <w:rPr>
          <w:rFonts w:ascii="Times New Roman" w:eastAsia="Times New Roman" w:hAnsi="Times New Roman" w:cs="Times New Roman"/>
          <w:sz w:val="24"/>
          <w:szCs w:val="24"/>
        </w:rPr>
        <w:t>за задължителни осигурителни вноски от работодателя са в размер на</w:t>
      </w:r>
      <w:r w:rsidR="0067520B" w:rsidRPr="002A4E03">
        <w:rPr>
          <w:rFonts w:ascii="Times New Roman" w:eastAsia="Times New Roman" w:hAnsi="Times New Roman" w:cs="Times New Roman"/>
          <w:sz w:val="24"/>
          <w:szCs w:val="24"/>
        </w:rPr>
        <w:t xml:space="preserve"> 5 091 449</w:t>
      </w:r>
      <w:r w:rsidR="00454E93" w:rsidRPr="002A4E03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2A4E03" w:rsidRPr="002A4E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657D" w:rsidRDefault="00454E93" w:rsidP="0089657D">
      <w:pPr>
        <w:pStyle w:val="ListParagraph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7D">
        <w:rPr>
          <w:rFonts w:ascii="Times New Roman" w:eastAsia="Times New Roman" w:hAnsi="Times New Roman" w:cs="Times New Roman"/>
          <w:sz w:val="24"/>
          <w:szCs w:val="24"/>
        </w:rPr>
        <w:t>Разходи за издръжка</w:t>
      </w:r>
      <w:r w:rsidR="002A4E03" w:rsidRPr="00896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57D">
        <w:rPr>
          <w:rFonts w:ascii="Times New Roman" w:eastAsia="Times New Roman" w:hAnsi="Times New Roman" w:cs="Times New Roman"/>
          <w:sz w:val="24"/>
          <w:szCs w:val="24"/>
        </w:rPr>
        <w:t>в размер на</w:t>
      </w:r>
      <w:r w:rsidR="000376E1" w:rsidRPr="00896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57D">
        <w:rPr>
          <w:rFonts w:ascii="Times New Roman" w:eastAsia="Times New Roman" w:hAnsi="Times New Roman" w:cs="Times New Roman"/>
          <w:sz w:val="24"/>
          <w:szCs w:val="24"/>
        </w:rPr>
        <w:t>4 108 107</w:t>
      </w:r>
      <w:r w:rsidRPr="0089657D">
        <w:rPr>
          <w:rFonts w:ascii="Times New Roman" w:eastAsia="Times New Roman" w:hAnsi="Times New Roman" w:cs="Times New Roman"/>
          <w:sz w:val="24"/>
          <w:szCs w:val="24"/>
        </w:rPr>
        <w:t xml:space="preserve"> лева, като най-голям дял</w:t>
      </w:r>
      <w:r w:rsidR="000376E1" w:rsidRPr="00896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57D">
        <w:rPr>
          <w:rFonts w:ascii="Times New Roman" w:eastAsia="Times New Roman" w:hAnsi="Times New Roman" w:cs="Times New Roman"/>
          <w:sz w:val="24"/>
          <w:szCs w:val="24"/>
        </w:rPr>
        <w:t>заемат разходите за външни услуги в размер на</w:t>
      </w:r>
      <w:r w:rsidR="000376E1" w:rsidRPr="0089657D">
        <w:rPr>
          <w:rFonts w:ascii="Times New Roman" w:eastAsia="Times New Roman" w:hAnsi="Times New Roman" w:cs="Times New Roman"/>
          <w:sz w:val="24"/>
          <w:szCs w:val="24"/>
        </w:rPr>
        <w:t xml:space="preserve"> 2 168 080</w:t>
      </w:r>
      <w:r w:rsidRPr="0089657D">
        <w:rPr>
          <w:rFonts w:ascii="Times New Roman" w:eastAsia="Times New Roman" w:hAnsi="Times New Roman" w:cs="Times New Roman"/>
          <w:sz w:val="24"/>
          <w:szCs w:val="24"/>
        </w:rPr>
        <w:t xml:space="preserve"> лв., от които абонаментна поддръжка,</w:t>
      </w:r>
      <w:r w:rsidR="000376E1" w:rsidRPr="00896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57D">
        <w:rPr>
          <w:rFonts w:ascii="Times New Roman" w:eastAsia="Times New Roman" w:hAnsi="Times New Roman" w:cs="Times New Roman"/>
          <w:sz w:val="24"/>
          <w:szCs w:val="24"/>
        </w:rPr>
        <w:t>разходи за поддръжка на софтуер и хардуер, разходи за пощенски, мобилни и стационарни телефонни услуги и други.</w:t>
      </w:r>
      <w:r w:rsidR="00C80AC2" w:rsidRPr="0089657D">
        <w:rPr>
          <w:rFonts w:ascii="Times New Roman" w:eastAsia="Times New Roman" w:hAnsi="Times New Roman" w:cs="Times New Roman"/>
          <w:sz w:val="24"/>
          <w:szCs w:val="24"/>
        </w:rPr>
        <w:t xml:space="preserve"> Съществен дял в разходите за издръжка заемат разходите за вода, горива и ел. енергия в размер на</w:t>
      </w:r>
      <w:r w:rsidR="000376E1" w:rsidRPr="0089657D">
        <w:rPr>
          <w:rFonts w:ascii="Times New Roman" w:eastAsia="Times New Roman" w:hAnsi="Times New Roman" w:cs="Times New Roman"/>
          <w:sz w:val="24"/>
          <w:szCs w:val="24"/>
        </w:rPr>
        <w:t xml:space="preserve"> 663 957</w:t>
      </w:r>
      <w:r w:rsidR="00C80AC2" w:rsidRPr="0089657D">
        <w:rPr>
          <w:rFonts w:ascii="Times New Roman" w:eastAsia="Times New Roman" w:hAnsi="Times New Roman" w:cs="Times New Roman"/>
          <w:sz w:val="24"/>
          <w:szCs w:val="24"/>
        </w:rPr>
        <w:t xml:space="preserve"> лева.</w:t>
      </w:r>
      <w:r w:rsidRPr="0089657D">
        <w:rPr>
          <w:rFonts w:ascii="Times New Roman" w:eastAsia="Times New Roman" w:hAnsi="Times New Roman" w:cs="Times New Roman"/>
          <w:sz w:val="24"/>
          <w:szCs w:val="24"/>
        </w:rPr>
        <w:t xml:space="preserve"> В Параграф 10-98 „Други разходи, некласифицирани в другите параграфи и подпараграфи” са отчетени средства в размер на</w:t>
      </w:r>
      <w:r w:rsidR="000376E1" w:rsidRPr="0089657D">
        <w:rPr>
          <w:rFonts w:ascii="Times New Roman" w:eastAsia="Times New Roman" w:hAnsi="Times New Roman" w:cs="Times New Roman"/>
          <w:sz w:val="24"/>
          <w:szCs w:val="24"/>
        </w:rPr>
        <w:t xml:space="preserve"> 244 </w:t>
      </w:r>
      <w:r w:rsidR="000376E1" w:rsidRPr="0089657D">
        <w:rPr>
          <w:rFonts w:ascii="Times New Roman" w:eastAsia="Times New Roman" w:hAnsi="Times New Roman" w:cs="Times New Roman"/>
          <w:sz w:val="24"/>
          <w:szCs w:val="24"/>
        </w:rPr>
        <w:lastRenderedPageBreak/>
        <w:t>660</w:t>
      </w:r>
      <w:r w:rsidRPr="0089657D">
        <w:rPr>
          <w:rFonts w:ascii="Times New Roman" w:eastAsia="Times New Roman" w:hAnsi="Times New Roman" w:cs="Times New Roman"/>
          <w:sz w:val="24"/>
          <w:szCs w:val="24"/>
        </w:rPr>
        <w:t xml:space="preserve"> лв., предоставени на домакинствата, във връзка със събиране на данни за статистически изследвания, които са заложени в Националната статистическа програма</w:t>
      </w:r>
      <w:r w:rsidR="00AB04AD" w:rsidRPr="00896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5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0AC2" w:rsidRPr="0089657D">
        <w:rPr>
          <w:rFonts w:ascii="Times New Roman" w:eastAsia="Times New Roman" w:hAnsi="Times New Roman" w:cs="Times New Roman"/>
          <w:sz w:val="24"/>
          <w:szCs w:val="24"/>
        </w:rPr>
        <w:t xml:space="preserve">Заплатените данъци за </w:t>
      </w:r>
      <w:r w:rsidR="00AB04AD" w:rsidRPr="0089657D">
        <w:rPr>
          <w:rFonts w:ascii="Times New Roman" w:eastAsia="Times New Roman" w:hAnsi="Times New Roman" w:cs="Times New Roman"/>
          <w:sz w:val="24"/>
          <w:szCs w:val="24"/>
        </w:rPr>
        <w:t>2023 г.</w:t>
      </w:r>
      <w:r w:rsidR="00C80AC2" w:rsidRPr="0089657D">
        <w:rPr>
          <w:rFonts w:ascii="Times New Roman" w:eastAsia="Times New Roman" w:hAnsi="Times New Roman" w:cs="Times New Roman"/>
          <w:sz w:val="24"/>
          <w:szCs w:val="24"/>
        </w:rPr>
        <w:t xml:space="preserve"> са в размер на 1</w:t>
      </w:r>
      <w:r w:rsidR="00AB04AD" w:rsidRPr="0089657D">
        <w:rPr>
          <w:rFonts w:ascii="Times New Roman" w:eastAsia="Times New Roman" w:hAnsi="Times New Roman" w:cs="Times New Roman"/>
          <w:sz w:val="24"/>
          <w:szCs w:val="24"/>
        </w:rPr>
        <w:t>95 637</w:t>
      </w:r>
      <w:r w:rsidR="00C80AC2" w:rsidRPr="0089657D">
        <w:rPr>
          <w:rFonts w:ascii="Times New Roman" w:eastAsia="Times New Roman" w:hAnsi="Times New Roman" w:cs="Times New Roman"/>
          <w:sz w:val="24"/>
          <w:szCs w:val="24"/>
        </w:rPr>
        <w:t xml:space="preserve"> лв. и членски внос за участие в международни организации -50 011 лева.</w:t>
      </w:r>
    </w:p>
    <w:p w:rsidR="00454E93" w:rsidRPr="0089657D" w:rsidRDefault="00454E93" w:rsidP="0089657D">
      <w:pPr>
        <w:pStyle w:val="ListParagraph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7D">
        <w:rPr>
          <w:rFonts w:ascii="Times New Roman" w:eastAsia="Times New Roman" w:hAnsi="Times New Roman" w:cs="Times New Roman"/>
          <w:sz w:val="24"/>
          <w:szCs w:val="24"/>
        </w:rPr>
        <w:t>Капиталови разходи в размер на</w:t>
      </w:r>
      <w:r w:rsidR="0089657D">
        <w:rPr>
          <w:rFonts w:ascii="Times New Roman" w:eastAsia="Times New Roman" w:hAnsi="Times New Roman" w:cs="Times New Roman"/>
          <w:sz w:val="24"/>
          <w:szCs w:val="24"/>
        </w:rPr>
        <w:t xml:space="preserve"> 3 345 417</w:t>
      </w:r>
      <w:r w:rsidRPr="0089657D">
        <w:rPr>
          <w:rFonts w:ascii="Times New Roman" w:eastAsia="Times New Roman" w:hAnsi="Times New Roman" w:cs="Times New Roman"/>
          <w:sz w:val="24"/>
          <w:szCs w:val="24"/>
        </w:rPr>
        <w:t xml:space="preserve"> лв., от които за  придобиване на </w:t>
      </w:r>
      <w:r w:rsidR="002132A0">
        <w:rPr>
          <w:rFonts w:ascii="Times New Roman" w:eastAsia="Times New Roman" w:hAnsi="Times New Roman" w:cs="Times New Roman"/>
          <w:sz w:val="24"/>
          <w:szCs w:val="24"/>
        </w:rPr>
        <w:t>ДМА</w:t>
      </w:r>
      <w:r w:rsidR="008965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32A0">
        <w:rPr>
          <w:rFonts w:ascii="Times New Roman" w:eastAsia="Times New Roman" w:hAnsi="Times New Roman" w:cs="Times New Roman"/>
          <w:sz w:val="24"/>
          <w:szCs w:val="24"/>
        </w:rPr>
        <w:t>2 073 996</w:t>
      </w:r>
      <w:r w:rsidRPr="0089657D">
        <w:rPr>
          <w:rFonts w:ascii="Times New Roman" w:eastAsia="Times New Roman" w:hAnsi="Times New Roman" w:cs="Times New Roman"/>
          <w:sz w:val="24"/>
          <w:szCs w:val="24"/>
        </w:rPr>
        <w:t xml:space="preserve"> лв.,</w:t>
      </w:r>
      <w:r w:rsidRPr="008965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9657D">
        <w:rPr>
          <w:rFonts w:ascii="Times New Roman" w:eastAsia="Times New Roman" w:hAnsi="Times New Roman" w:cs="Times New Roman"/>
          <w:sz w:val="24"/>
          <w:szCs w:val="24"/>
        </w:rPr>
        <w:t xml:space="preserve">придобиване на </w:t>
      </w:r>
      <w:r w:rsidR="002132A0">
        <w:rPr>
          <w:rFonts w:ascii="Times New Roman" w:eastAsia="Times New Roman" w:hAnsi="Times New Roman" w:cs="Times New Roman"/>
          <w:sz w:val="24"/>
          <w:szCs w:val="24"/>
        </w:rPr>
        <w:t>НМДА-1 132 525</w:t>
      </w:r>
      <w:r w:rsidRPr="0089657D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  <w:r w:rsidR="00C80AC2" w:rsidRPr="0089657D">
        <w:rPr>
          <w:rFonts w:ascii="Times New Roman" w:eastAsia="Times New Roman" w:hAnsi="Times New Roman" w:cs="Times New Roman"/>
          <w:sz w:val="24"/>
          <w:szCs w:val="24"/>
        </w:rPr>
        <w:t xml:space="preserve"> и основен ремонт в размер на </w:t>
      </w:r>
      <w:r w:rsidR="002132A0">
        <w:rPr>
          <w:rFonts w:ascii="Times New Roman" w:eastAsia="Times New Roman" w:hAnsi="Times New Roman" w:cs="Times New Roman"/>
          <w:sz w:val="24"/>
          <w:szCs w:val="24"/>
        </w:rPr>
        <w:t>138 896</w:t>
      </w:r>
      <w:r w:rsidR="00C80AC2" w:rsidRPr="0089657D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2132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E93" w:rsidRPr="00362A15" w:rsidRDefault="00454E93" w:rsidP="00454E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E93" w:rsidRDefault="00454E93" w:rsidP="00213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15">
        <w:rPr>
          <w:rFonts w:ascii="Times New Roman" w:eastAsia="Times New Roman" w:hAnsi="Times New Roman" w:cs="Times New Roman"/>
          <w:b/>
          <w:sz w:val="24"/>
          <w:szCs w:val="24"/>
        </w:rPr>
        <w:t>Дейност 532</w:t>
      </w:r>
      <w:r w:rsidR="0073530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62A15">
        <w:rPr>
          <w:rFonts w:ascii="Times New Roman" w:eastAsia="Times New Roman" w:hAnsi="Times New Roman" w:cs="Times New Roman"/>
          <w:b/>
          <w:sz w:val="24"/>
          <w:szCs w:val="24"/>
        </w:rPr>
        <w:t>Програми за временна заетост</w:t>
      </w:r>
    </w:p>
    <w:p w:rsidR="00AD7E77" w:rsidRPr="00362A15" w:rsidRDefault="00AD7E77" w:rsidP="00454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E93" w:rsidRPr="003F5055" w:rsidRDefault="00454E93" w:rsidP="00213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55">
        <w:rPr>
          <w:rFonts w:ascii="Times New Roman" w:eastAsia="Times New Roman" w:hAnsi="Times New Roman" w:cs="Times New Roman"/>
          <w:sz w:val="24"/>
          <w:szCs w:val="24"/>
        </w:rPr>
        <w:t xml:space="preserve">Разходите за тази дейност са в размер на </w:t>
      </w:r>
      <w:r w:rsidR="000E3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1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64C">
        <w:rPr>
          <w:rFonts w:ascii="Times New Roman" w:eastAsia="Times New Roman" w:hAnsi="Times New Roman" w:cs="Times New Roman"/>
          <w:sz w:val="24"/>
          <w:szCs w:val="24"/>
        </w:rPr>
        <w:t>204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2132A0" w:rsidRPr="0021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2A0">
        <w:rPr>
          <w:rFonts w:ascii="Times New Roman" w:eastAsia="Times New Roman" w:hAnsi="Times New Roman" w:cs="Times New Roman"/>
          <w:sz w:val="24"/>
          <w:szCs w:val="24"/>
        </w:rPr>
        <w:t>и включват: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E93" w:rsidRPr="002132A0" w:rsidRDefault="00454E93" w:rsidP="002132A0">
      <w:pPr>
        <w:pStyle w:val="ListParagraph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A0">
        <w:rPr>
          <w:rFonts w:ascii="Times New Roman" w:eastAsia="Times New Roman" w:hAnsi="Times New Roman" w:cs="Times New Roman"/>
          <w:sz w:val="24"/>
          <w:szCs w:val="24"/>
        </w:rPr>
        <w:t>Разходи</w:t>
      </w:r>
      <w:r w:rsidR="0073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2A0">
        <w:rPr>
          <w:rFonts w:ascii="Times New Roman" w:eastAsia="Times New Roman" w:hAnsi="Times New Roman" w:cs="Times New Roman"/>
          <w:sz w:val="24"/>
          <w:szCs w:val="24"/>
        </w:rPr>
        <w:t>за заплати</w:t>
      </w:r>
      <w:r w:rsidR="0021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2A0" w:rsidRPr="002132A0">
        <w:rPr>
          <w:rFonts w:ascii="Times New Roman" w:eastAsia="Times New Roman" w:hAnsi="Times New Roman" w:cs="Times New Roman"/>
          <w:sz w:val="24"/>
          <w:szCs w:val="24"/>
        </w:rPr>
        <w:t xml:space="preserve">включват изплатените възнаграждения на лицата назначени по програма </w:t>
      </w:r>
      <w:r w:rsidR="002132A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132A0" w:rsidRPr="002132A0">
        <w:rPr>
          <w:rFonts w:ascii="Times New Roman" w:eastAsia="Times New Roman" w:hAnsi="Times New Roman" w:cs="Times New Roman"/>
          <w:sz w:val="24"/>
          <w:szCs w:val="24"/>
        </w:rPr>
        <w:t>Старт в кариерата</w:t>
      </w:r>
      <w:r w:rsidR="002132A0">
        <w:rPr>
          <w:rFonts w:ascii="Times New Roman" w:eastAsia="Times New Roman" w:hAnsi="Times New Roman" w:cs="Times New Roman"/>
          <w:sz w:val="24"/>
          <w:szCs w:val="24"/>
        </w:rPr>
        <w:t xml:space="preserve">“-3 600 </w:t>
      </w:r>
      <w:r w:rsidRPr="002132A0">
        <w:rPr>
          <w:rFonts w:ascii="Times New Roman" w:eastAsia="Times New Roman" w:hAnsi="Times New Roman" w:cs="Times New Roman"/>
          <w:sz w:val="24"/>
          <w:szCs w:val="24"/>
        </w:rPr>
        <w:t>лв</w:t>
      </w:r>
      <w:r w:rsidR="002132A0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Pr="002132A0">
        <w:rPr>
          <w:rFonts w:ascii="Times New Roman" w:eastAsia="Times New Roman" w:hAnsi="Times New Roman" w:cs="Times New Roman"/>
          <w:sz w:val="24"/>
          <w:szCs w:val="24"/>
        </w:rPr>
        <w:t xml:space="preserve">разходите за задължителни осигурителни вноски от работодателя в размер на </w:t>
      </w:r>
      <w:r w:rsidR="00AD7E77" w:rsidRPr="002132A0">
        <w:rPr>
          <w:rFonts w:ascii="Times New Roman" w:eastAsia="Times New Roman" w:hAnsi="Times New Roman" w:cs="Times New Roman"/>
          <w:sz w:val="24"/>
          <w:szCs w:val="24"/>
        </w:rPr>
        <w:t>604</w:t>
      </w:r>
      <w:r w:rsidRPr="002132A0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Pr="002132A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E23004" w:rsidRPr="002132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23004" w:rsidRPr="002132A0">
        <w:rPr>
          <w:rFonts w:ascii="Times New Roman" w:eastAsia="Times New Roman" w:hAnsi="Times New Roman" w:cs="Times New Roman"/>
          <w:sz w:val="24"/>
          <w:szCs w:val="24"/>
        </w:rPr>
        <w:t>Програмата обхваща периода януари</w:t>
      </w:r>
      <w:r w:rsidR="002132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3004" w:rsidRPr="002132A0">
        <w:rPr>
          <w:rFonts w:ascii="Times New Roman" w:eastAsia="Times New Roman" w:hAnsi="Times New Roman" w:cs="Times New Roman"/>
          <w:sz w:val="24"/>
          <w:szCs w:val="24"/>
        </w:rPr>
        <w:t>март 2023 година.</w:t>
      </w:r>
    </w:p>
    <w:p w:rsidR="00454E93" w:rsidRPr="00362A15" w:rsidRDefault="00454E93" w:rsidP="00454E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54E93" w:rsidRPr="00362A15" w:rsidRDefault="00454E93" w:rsidP="00735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15">
        <w:rPr>
          <w:rFonts w:ascii="Times New Roman" w:eastAsia="Times New Roman" w:hAnsi="Times New Roman" w:cs="Times New Roman"/>
          <w:b/>
          <w:sz w:val="24"/>
          <w:szCs w:val="24"/>
        </w:rPr>
        <w:t>Дейност</w:t>
      </w:r>
      <w:r w:rsidR="007353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2A15">
        <w:rPr>
          <w:rFonts w:ascii="Times New Roman" w:eastAsia="Times New Roman" w:hAnsi="Times New Roman" w:cs="Times New Roman"/>
          <w:b/>
          <w:sz w:val="24"/>
          <w:szCs w:val="24"/>
        </w:rPr>
        <w:t>282</w:t>
      </w:r>
      <w:r w:rsidR="0073530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62A15">
        <w:rPr>
          <w:rFonts w:ascii="Times New Roman" w:eastAsia="Times New Roman" w:hAnsi="Times New Roman" w:cs="Times New Roman"/>
          <w:b/>
          <w:sz w:val="24"/>
          <w:szCs w:val="24"/>
        </w:rPr>
        <w:t>Отбранително-мобилизационна подготовка, поддържане на запаси и мощности</w:t>
      </w:r>
    </w:p>
    <w:p w:rsidR="00454E93" w:rsidRPr="00362A15" w:rsidRDefault="00454E93" w:rsidP="00735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Разходите за тази дейност са в размер на </w:t>
      </w:r>
      <w:r w:rsidR="00735309">
        <w:rPr>
          <w:rFonts w:ascii="Times New Roman" w:eastAsia="Times New Roman" w:hAnsi="Times New Roman" w:cs="Times New Roman"/>
          <w:sz w:val="24"/>
          <w:szCs w:val="24"/>
        </w:rPr>
        <w:t>215 828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735309" w:rsidRPr="0073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309">
        <w:rPr>
          <w:rFonts w:ascii="Times New Roman" w:eastAsia="Times New Roman" w:hAnsi="Times New Roman" w:cs="Times New Roman"/>
          <w:sz w:val="24"/>
          <w:szCs w:val="24"/>
        </w:rPr>
        <w:t xml:space="preserve">и включват: </w:t>
      </w:r>
      <w:r w:rsidRPr="0036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54E93" w:rsidRPr="00735309" w:rsidRDefault="00454E93" w:rsidP="00781A67">
      <w:pPr>
        <w:pStyle w:val="ListParagraph"/>
        <w:numPr>
          <w:ilvl w:val="0"/>
          <w:numId w:val="25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5309">
        <w:rPr>
          <w:rFonts w:ascii="Times New Roman" w:eastAsia="Times New Roman" w:hAnsi="Times New Roman" w:cs="Times New Roman"/>
          <w:sz w:val="24"/>
          <w:szCs w:val="24"/>
        </w:rPr>
        <w:t xml:space="preserve">Разходи за </w:t>
      </w:r>
      <w:r w:rsidR="001072E6" w:rsidRPr="00735309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 w:rsidRPr="00735309">
        <w:rPr>
          <w:rFonts w:ascii="Times New Roman" w:eastAsia="Times New Roman" w:hAnsi="Times New Roman" w:cs="Times New Roman"/>
          <w:sz w:val="24"/>
          <w:szCs w:val="24"/>
        </w:rPr>
        <w:t xml:space="preserve"> в размер на</w:t>
      </w:r>
      <w:r w:rsidR="00735309" w:rsidRPr="00735309">
        <w:rPr>
          <w:rFonts w:ascii="Times New Roman" w:eastAsia="Times New Roman" w:hAnsi="Times New Roman" w:cs="Times New Roman"/>
          <w:sz w:val="24"/>
          <w:szCs w:val="24"/>
        </w:rPr>
        <w:t xml:space="preserve"> 206 293 </w:t>
      </w:r>
      <w:r w:rsidRPr="00735309">
        <w:rPr>
          <w:rFonts w:ascii="Times New Roman" w:eastAsia="Times New Roman" w:hAnsi="Times New Roman" w:cs="Times New Roman"/>
          <w:sz w:val="24"/>
          <w:szCs w:val="24"/>
        </w:rPr>
        <w:t xml:space="preserve">лв. и включват </w:t>
      </w:r>
      <w:r w:rsidR="00781A67">
        <w:rPr>
          <w:rFonts w:ascii="Times New Roman" w:eastAsia="Times New Roman" w:hAnsi="Times New Roman" w:cs="Times New Roman"/>
          <w:sz w:val="24"/>
          <w:szCs w:val="24"/>
        </w:rPr>
        <w:t xml:space="preserve">изплатените </w:t>
      </w:r>
      <w:r w:rsidR="000E364C" w:rsidRPr="00735309">
        <w:rPr>
          <w:rFonts w:ascii="Times New Roman" w:eastAsia="Times New Roman" w:hAnsi="Times New Roman" w:cs="Times New Roman"/>
          <w:sz w:val="24"/>
          <w:szCs w:val="24"/>
        </w:rPr>
        <w:t>възнаграждения на персонала нает по 31-во и 212 -то ПМС</w:t>
      </w:r>
      <w:r w:rsidR="00735309" w:rsidRPr="00735309">
        <w:rPr>
          <w:rFonts w:ascii="Times New Roman" w:eastAsia="Times New Roman" w:hAnsi="Times New Roman" w:cs="Times New Roman"/>
          <w:sz w:val="24"/>
          <w:szCs w:val="24"/>
        </w:rPr>
        <w:t xml:space="preserve"> в размер на 165 126 лв.</w:t>
      </w:r>
      <w:r w:rsidR="000E364C" w:rsidRPr="007353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5309" w:rsidRPr="00735309">
        <w:rPr>
          <w:rFonts w:ascii="Times New Roman" w:eastAsia="Times New Roman" w:hAnsi="Times New Roman" w:cs="Times New Roman"/>
          <w:sz w:val="24"/>
          <w:szCs w:val="24"/>
        </w:rPr>
        <w:t xml:space="preserve"> разходи за други възнаграждения и плащания – 8 327 лв.</w:t>
      </w:r>
      <w:r w:rsidR="0073530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35309">
        <w:rPr>
          <w:rFonts w:ascii="Times New Roman" w:eastAsia="Times New Roman" w:hAnsi="Times New Roman" w:cs="Times New Roman"/>
          <w:sz w:val="24"/>
          <w:szCs w:val="24"/>
          <w:lang w:val="ru-RU"/>
        </w:rPr>
        <w:t>разходите</w:t>
      </w:r>
      <w:r w:rsidRPr="00735309">
        <w:rPr>
          <w:rFonts w:ascii="Times New Roman" w:eastAsia="Times New Roman" w:hAnsi="Times New Roman" w:cs="Times New Roman"/>
          <w:sz w:val="24"/>
          <w:szCs w:val="24"/>
        </w:rPr>
        <w:t xml:space="preserve"> за задължителни осигурителни вноски от работодателя в размер на </w:t>
      </w:r>
      <w:r w:rsidR="00735309">
        <w:rPr>
          <w:rFonts w:ascii="Times New Roman" w:eastAsia="Times New Roman" w:hAnsi="Times New Roman" w:cs="Times New Roman"/>
          <w:sz w:val="24"/>
          <w:szCs w:val="24"/>
        </w:rPr>
        <w:t>32 840</w:t>
      </w:r>
      <w:r w:rsidRPr="00735309">
        <w:rPr>
          <w:rFonts w:ascii="Times New Roman" w:eastAsia="Times New Roman" w:hAnsi="Times New Roman" w:cs="Times New Roman"/>
          <w:sz w:val="24"/>
          <w:szCs w:val="24"/>
        </w:rPr>
        <w:t xml:space="preserve"> лева.</w:t>
      </w:r>
    </w:p>
    <w:p w:rsidR="00781A67" w:rsidRDefault="00454E93" w:rsidP="00781A67">
      <w:pPr>
        <w:pStyle w:val="ListParagraph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309">
        <w:rPr>
          <w:rFonts w:ascii="Times New Roman" w:eastAsia="Times New Roman" w:hAnsi="Times New Roman" w:cs="Times New Roman"/>
          <w:sz w:val="24"/>
          <w:szCs w:val="24"/>
        </w:rPr>
        <w:t>Разходи</w:t>
      </w:r>
      <w:r w:rsidR="00781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309">
        <w:rPr>
          <w:rFonts w:ascii="Times New Roman" w:eastAsia="Times New Roman" w:hAnsi="Times New Roman" w:cs="Times New Roman"/>
          <w:sz w:val="24"/>
          <w:szCs w:val="24"/>
        </w:rPr>
        <w:t>за издръжка</w:t>
      </w:r>
      <w:r w:rsidR="00781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309">
        <w:rPr>
          <w:rFonts w:ascii="Times New Roman" w:eastAsia="Times New Roman" w:hAnsi="Times New Roman" w:cs="Times New Roman"/>
          <w:sz w:val="24"/>
          <w:szCs w:val="24"/>
        </w:rPr>
        <w:t>в размер на</w:t>
      </w:r>
      <w:r w:rsidR="00781A67">
        <w:rPr>
          <w:rFonts w:ascii="Times New Roman" w:eastAsia="Times New Roman" w:hAnsi="Times New Roman" w:cs="Times New Roman"/>
          <w:sz w:val="24"/>
          <w:szCs w:val="24"/>
        </w:rPr>
        <w:t xml:space="preserve"> 7 681 </w:t>
      </w:r>
      <w:r w:rsidRPr="00735309">
        <w:rPr>
          <w:rFonts w:ascii="Times New Roman" w:eastAsia="Times New Roman" w:hAnsi="Times New Roman" w:cs="Times New Roman"/>
          <w:sz w:val="24"/>
          <w:szCs w:val="24"/>
        </w:rPr>
        <w:t>лв.</w:t>
      </w:r>
      <w:r w:rsidR="001072E6" w:rsidRPr="007353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1A67" w:rsidRPr="003F31E3">
        <w:rPr>
          <w:rFonts w:ascii="Times New Roman" w:eastAsia="Times New Roman" w:hAnsi="Times New Roman" w:cs="Times New Roman"/>
          <w:sz w:val="24"/>
          <w:szCs w:val="24"/>
        </w:rPr>
        <w:t xml:space="preserve">като най-голям дял </w:t>
      </w:r>
      <w:r w:rsidR="00781A67">
        <w:rPr>
          <w:rFonts w:ascii="Times New Roman" w:eastAsia="Times New Roman" w:hAnsi="Times New Roman" w:cs="Times New Roman"/>
          <w:sz w:val="24"/>
          <w:szCs w:val="24"/>
        </w:rPr>
        <w:t xml:space="preserve">заемат разходите за </w:t>
      </w:r>
      <w:r w:rsidR="001072E6" w:rsidRPr="00735309">
        <w:rPr>
          <w:rFonts w:ascii="Times New Roman" w:eastAsia="Times New Roman" w:hAnsi="Times New Roman" w:cs="Times New Roman"/>
          <w:sz w:val="24"/>
          <w:szCs w:val="24"/>
        </w:rPr>
        <w:t>материали.</w:t>
      </w:r>
      <w:r w:rsidRPr="0073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E93" w:rsidRPr="00735309" w:rsidRDefault="001072E6" w:rsidP="00781A67">
      <w:pPr>
        <w:pStyle w:val="ListParagraph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30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54E93" w:rsidRPr="00735309">
        <w:rPr>
          <w:rFonts w:ascii="Times New Roman" w:eastAsia="Times New Roman" w:hAnsi="Times New Roman" w:cs="Times New Roman"/>
          <w:sz w:val="24"/>
          <w:szCs w:val="24"/>
        </w:rPr>
        <w:t xml:space="preserve">апиталови разходи </w:t>
      </w:r>
      <w:r w:rsidR="00781A67">
        <w:rPr>
          <w:rFonts w:ascii="Times New Roman" w:eastAsia="Times New Roman" w:hAnsi="Times New Roman" w:cs="Times New Roman"/>
          <w:sz w:val="24"/>
          <w:szCs w:val="24"/>
        </w:rPr>
        <w:t xml:space="preserve">в размер на 1 844 лв. </w:t>
      </w:r>
      <w:r w:rsidR="00781A67" w:rsidRPr="0089657D">
        <w:rPr>
          <w:rFonts w:ascii="Times New Roman" w:eastAsia="Times New Roman" w:hAnsi="Times New Roman" w:cs="Times New Roman"/>
          <w:sz w:val="24"/>
          <w:szCs w:val="24"/>
        </w:rPr>
        <w:t xml:space="preserve">придобиване на </w:t>
      </w:r>
      <w:r w:rsidR="00781A67">
        <w:rPr>
          <w:rFonts w:ascii="Times New Roman" w:eastAsia="Times New Roman" w:hAnsi="Times New Roman" w:cs="Times New Roman"/>
          <w:sz w:val="24"/>
          <w:szCs w:val="24"/>
        </w:rPr>
        <w:t>НМДА</w:t>
      </w:r>
      <w:r w:rsidR="00454E93" w:rsidRPr="00735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4E93" w:rsidRPr="00362A15" w:rsidRDefault="00454E93" w:rsidP="0045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4E93" w:rsidRDefault="00454E93" w:rsidP="00454E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54E93" w:rsidRDefault="00454E93" w:rsidP="00454E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0B7" w:rsidRDefault="006940B7" w:rsidP="00454E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0B7" w:rsidRDefault="006940B7" w:rsidP="00454E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0B7" w:rsidRDefault="006940B7" w:rsidP="00454E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F37" w:rsidRDefault="00C61F37" w:rsidP="00454E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F37" w:rsidRDefault="00C61F37" w:rsidP="00454E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F37" w:rsidRDefault="00C61F37" w:rsidP="00454E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F37" w:rsidRDefault="00C61F37" w:rsidP="00454E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F37" w:rsidRDefault="00C61F37" w:rsidP="00454E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F37" w:rsidRDefault="00C61F37" w:rsidP="00454E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F37" w:rsidRDefault="00C61F37" w:rsidP="00454E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0B7" w:rsidRDefault="006940B7" w:rsidP="00454E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0B7" w:rsidRPr="0052018D" w:rsidRDefault="006940B7" w:rsidP="00454E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776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993"/>
        <w:gridCol w:w="858"/>
        <w:gridCol w:w="984"/>
        <w:gridCol w:w="993"/>
        <w:gridCol w:w="852"/>
        <w:gridCol w:w="849"/>
        <w:gridCol w:w="850"/>
        <w:gridCol w:w="853"/>
      </w:tblGrid>
      <w:tr w:rsidR="0005098D" w:rsidRPr="00365C3C" w:rsidTr="003F31E3">
        <w:trPr>
          <w:trHeight w:val="375"/>
        </w:trPr>
        <w:tc>
          <w:tcPr>
            <w:tcW w:w="10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3C" w:rsidRPr="003F31E3" w:rsidRDefault="00365C3C" w:rsidP="0036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Отчет на консолидираните разходи по бюджетните програми в рамките на съответните области на политики/функционални области</w:t>
            </w:r>
          </w:p>
          <w:p w:rsidR="00017766" w:rsidRPr="003F31E3" w:rsidRDefault="00017766" w:rsidP="0036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098D" w:rsidRPr="00CE6B42" w:rsidTr="003F31E3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  <w:t>Код*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ФУНКЦИОНАЛНИ ОБЛАСТИ</w:t>
            </w: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br/>
              <w:t xml:space="preserve">И БЮДЖЕТНИ ПРОГРАМИ 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Консолидирани разходи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Ведомствени разходи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Администрирани разходи</w:t>
            </w:r>
          </w:p>
        </w:tc>
      </w:tr>
      <w:tr w:rsidR="0005098D" w:rsidRPr="00CE6B42" w:rsidTr="00C54783">
        <w:trPr>
          <w:trHeight w:val="9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05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Национален статистически институт</w:t>
            </w: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br/>
            </w: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Общо разходи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5F" w:rsidRDefault="0019315F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</w:p>
          <w:p w:rsidR="0019315F" w:rsidRDefault="0019315F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</w:p>
          <w:p w:rsidR="0019315F" w:rsidRDefault="0019315F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</w:p>
          <w:p w:rsidR="0019315F" w:rsidRDefault="0019315F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</w:p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бюджета на ПРБ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други бюджети и сметки за средства от ЕС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Общо ведомствени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други бюджети и сметки за средства от ЕС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Общо администрирани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бюджета на ПРБ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други бюджети и сметки за средства от ЕС</w:t>
            </w:r>
          </w:p>
        </w:tc>
      </w:tr>
      <w:tr w:rsidR="003F31E3" w:rsidRPr="00CE6B42" w:rsidTr="00C54783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 разходи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7D0DC6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33 305 797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52018D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30 565 980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7D0DC6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2 739 817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7D0DC6" w:rsidRDefault="007D0DC6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33 305 797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52018D" w:rsidRDefault="0052018D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30 565 980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A91F35" w:rsidRPr="007D0DC6" w:rsidRDefault="007D0DC6" w:rsidP="007C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2 739 817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B56D3" w:rsidRPr="00CE6B42" w:rsidTr="00C54783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A91F3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Функционална област „ 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7D0DC6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33 305 797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Default="00A91F35" w:rsidP="0041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52018D" w:rsidP="0041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30 565 980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A91F35" w:rsidRPr="00365C3C" w:rsidRDefault="007D0DC6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2 739 817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7D0DC6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33 305 797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A91F35" w:rsidRPr="00365C3C" w:rsidRDefault="0052018D" w:rsidP="0041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30 565 980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</w:tcPr>
          <w:p w:rsidR="00A91F35" w:rsidRPr="00365C3C" w:rsidRDefault="007D0DC6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2 739 817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05098D" w:rsidRPr="00CE6B42" w:rsidTr="00C54783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05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Бюджетна програма "Национална статистическа програма"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7D0DC6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33 305 797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52018D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30 565 980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7D0DC6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2 739 817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7D0DC6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33 305 797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52018D" w:rsidP="00C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30 565 980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961FD1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r w:rsidR="007D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2 739 817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</w:tbl>
    <w:p w:rsidR="00365C3C" w:rsidRDefault="00365C3C">
      <w:pPr>
        <w:rPr>
          <w:rFonts w:ascii="Times New Roman" w:hAnsi="Times New Roman" w:cs="Times New Roman"/>
          <w:sz w:val="18"/>
          <w:szCs w:val="18"/>
        </w:rPr>
      </w:pPr>
    </w:p>
    <w:p w:rsidR="00017766" w:rsidRPr="003F31E3" w:rsidRDefault="000177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3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491"/>
        <w:gridCol w:w="1134"/>
        <w:gridCol w:w="9"/>
        <w:gridCol w:w="1037"/>
        <w:gridCol w:w="9"/>
        <w:gridCol w:w="3721"/>
        <w:gridCol w:w="9"/>
      </w:tblGrid>
      <w:tr w:rsidR="00BC555F" w:rsidRPr="008B56D3" w:rsidTr="003F31E3">
        <w:trPr>
          <w:trHeight w:val="375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5F" w:rsidRPr="003F31E3" w:rsidRDefault="00BC555F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Финансиране на консолидираните разходи</w:t>
            </w:r>
          </w:p>
          <w:p w:rsidR="00017766" w:rsidRPr="003F31E3" w:rsidRDefault="00017766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5F" w:rsidRPr="003F31E3" w:rsidRDefault="00BC555F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5F" w:rsidRPr="003F31E3" w:rsidRDefault="00BC555F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7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Финансиране на консолидираните разходи, обхванати в програмния бюджет</w:t>
            </w: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(в лева)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консолидирани разходи: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A91F35" w:rsidRPr="00BC555F" w:rsidRDefault="00903DC3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34 256 600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F22883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33 645 249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F22883" w:rsidRDefault="00F22883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33 305 797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финансиране: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903DC3" w:rsidRDefault="00903DC3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34 256 600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F22883" w:rsidRDefault="00F22883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33 645 249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F22883" w:rsidRDefault="00F22883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33 305 797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B56D3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От бюджета на ПРБ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903DC3" w:rsidRDefault="00C03171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03D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30 812 600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697925" w:rsidRDefault="0069792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30 870 504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F35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BC555F" w:rsidRPr="00697925" w:rsidRDefault="00697925" w:rsidP="00EB5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30 565 980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B56D3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От други бюджети и сметки за средства от ЕС, в т.ч. от: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5F" w:rsidRDefault="00A91F35" w:rsidP="00B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903DC3" w:rsidRDefault="00903DC3" w:rsidP="00B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3 444</w:t>
            </w:r>
            <w:r w:rsidR="00B21F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Default="00A91F35" w:rsidP="00B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21F6C" w:rsidRDefault="00B21F6C" w:rsidP="00B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2 774 745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Default="00A91F35" w:rsidP="00B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21F6C" w:rsidRDefault="00B21F6C" w:rsidP="00B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2 739 817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Централен бюджет, в т.ч.: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Държавни инвестиционни заеми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Сметки за средства от ЕС (ССЕС на НФ и на ДФЗ)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4F7EF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3 444 000</w:t>
            </w:r>
            <w:r w:rsidR="00BC555F"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21F6C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2 768 245</w:t>
            </w:r>
            <w:r w:rsidR="00BC555F"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F22883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 </w:t>
            </w:r>
            <w:r w:rsidR="00B21F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2 733 317</w:t>
            </w:r>
            <w:r w:rsidR="00BC555F"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Други програми и инициативи, по които Република България е страна-партньор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903DC3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21F6C" w:rsidRDefault="00B21F6C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6 500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21F6C" w:rsidRDefault="00B21F6C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6 500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Други програми и други донори по бюджета на ПРБ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CC0AB2" w:rsidRDefault="00CC0AB2">
      <w:r>
        <w:br w:type="pag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508"/>
        <w:gridCol w:w="1431"/>
        <w:gridCol w:w="1336"/>
        <w:gridCol w:w="1485"/>
        <w:gridCol w:w="1418"/>
        <w:gridCol w:w="1701"/>
      </w:tblGrid>
      <w:tr w:rsidR="001837C3" w:rsidRPr="008B56D3" w:rsidTr="003731F6">
        <w:trPr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12" w:rsidRPr="001941DC" w:rsidRDefault="00E01E12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  <w:p w:rsidR="001837C3" w:rsidRPr="001941DC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D15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Преглед на настъпилите през отчетния период промени на показателите по бюджета</w:t>
            </w:r>
          </w:p>
        </w:tc>
      </w:tr>
      <w:tr w:rsidR="001837C3" w:rsidRPr="001837C3" w:rsidTr="003731F6">
        <w:trPr>
          <w:trHeight w:val="4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Наименование на акта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Нормативно основание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Мотиви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Наименование на бюджетните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Ефект върху бюджета (увеличение / намаление на разходите по програми)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Влияние върху показателите за изпълнение</w:t>
            </w:r>
          </w:p>
        </w:tc>
      </w:tr>
      <w:tr w:rsidR="001837C3" w:rsidRPr="001837C3" w:rsidTr="003731F6">
        <w:trPr>
          <w:trHeight w:val="6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FB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(ПМС/акт на министъра на финансите/акт на ПРБ)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(Чл. 109, 110, 112, 113 от ЗПФ, чл. </w:t>
            </w:r>
            <w:r w:rsidR="00174A7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76,78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r w:rsidR="00174A7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106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ЗДБРБ за 202</w:t>
            </w:r>
            <w:r w:rsidR="00174A7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г.)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(Дават се кратки аргументи за извършените промени)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(Бюджетни програми, които засяга актът  новосъздадени администрирани разходни параграфи - наименование и сума)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(Произтичащи от акта промени на показателите по бюджета, в лева (+/-)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(Произтичащо от акта въздействие върху целевите стойности на показателите за изпълнение, ако има такова)</w:t>
            </w:r>
          </w:p>
        </w:tc>
      </w:tr>
      <w:tr w:rsidR="006232CE" w:rsidRPr="001837C3" w:rsidTr="003731F6">
        <w:trPr>
          <w:trHeight w:val="11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CE" w:rsidRPr="00BE551A" w:rsidRDefault="00BE551A" w:rsidP="006232CE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59" w:rsidRDefault="00C10459" w:rsidP="00C1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Решение №2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</w:t>
            </w:r>
            <w:r w:rsidRPr="00C1045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07.03.20</w:t>
            </w:r>
            <w:r w:rsidRPr="00C104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</w:t>
            </w:r>
            <w:r w:rsidRPr="00C1045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на КАС</w:t>
            </w:r>
          </w:p>
          <w:p w:rsidR="006232CE" w:rsidRPr="001837C3" w:rsidRDefault="006232CE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59" w:rsidRDefault="00C10459" w:rsidP="00C1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, 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.4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ЗПФ</w:t>
            </w:r>
          </w:p>
          <w:p w:rsidR="006232CE" w:rsidRPr="001837C3" w:rsidRDefault="006232CE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CE" w:rsidRPr="001837C3" w:rsidRDefault="006232CE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Одобрени допълнителни разходи по бюджета на НСИ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CE" w:rsidRPr="001837C3" w:rsidRDefault="006232CE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Национална статистическа програма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CE" w:rsidRPr="001837C3" w:rsidRDefault="006232CE" w:rsidP="00C1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Увеличение </w:t>
            </w:r>
            <w:r w:rsidR="00C104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50 000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CE" w:rsidRPr="001837C3" w:rsidRDefault="00491074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</w:t>
            </w:r>
          </w:p>
        </w:tc>
      </w:tr>
      <w:tr w:rsidR="006232CE" w:rsidRPr="001837C3" w:rsidTr="003731F6">
        <w:trPr>
          <w:trHeight w:val="6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CE" w:rsidRPr="00BE551A" w:rsidRDefault="00BE551A" w:rsidP="006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CE" w:rsidRDefault="006232CE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  <w:p w:rsidR="006B6C3C" w:rsidRDefault="006B6C3C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  <w:p w:rsidR="006B6C3C" w:rsidRDefault="006B6C3C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  <w:p w:rsidR="006B6C3C" w:rsidRPr="00C10459" w:rsidRDefault="006B6C3C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  <w:p w:rsidR="006232CE" w:rsidRPr="001837C3" w:rsidRDefault="00C71FDD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ПМС </w:t>
            </w:r>
            <w:r w:rsidR="00134DC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108/09.08.2023 г.</w:t>
            </w:r>
            <w:r w:rsidR="00E506F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CE" w:rsidRDefault="006232CE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232CE" w:rsidRDefault="006232CE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B6C3C" w:rsidRDefault="006B6C3C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232CE" w:rsidRDefault="00E506F8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Чл. 1</w:t>
            </w:r>
            <w:r w:rsidR="00C71F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09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, 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  <w:r w:rsidR="00C71F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ЗПФ</w:t>
            </w:r>
          </w:p>
          <w:p w:rsidR="006232CE" w:rsidRDefault="006232CE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232CE" w:rsidRPr="001837C3" w:rsidRDefault="006232CE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3C" w:rsidRDefault="006B6C3C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B6C3C" w:rsidRDefault="006B6C3C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232CE" w:rsidRPr="001837C3" w:rsidRDefault="00C10459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Одобрени допълнителни разходи по бюджета на НСИ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CE" w:rsidRPr="001837C3" w:rsidRDefault="00C10459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Национална статистическа програма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3C" w:rsidRDefault="006B6C3C" w:rsidP="00C7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B6C3C" w:rsidRDefault="006B6C3C" w:rsidP="00C7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B6C3C" w:rsidRDefault="006B6C3C" w:rsidP="00C7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B6C3C" w:rsidRDefault="006B6C3C" w:rsidP="00C7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B6C3C" w:rsidRDefault="006B6C3C" w:rsidP="00C7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232CE" w:rsidRPr="001837C3" w:rsidRDefault="00C10459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Увеличение </w:t>
            </w:r>
            <w:r w:rsidR="00134DC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</w:t>
            </w:r>
            <w:r w:rsidR="00C71F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 w:rsidR="003731F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2 </w:t>
            </w:r>
            <w:r w:rsidR="00C71F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3C" w:rsidRDefault="006B6C3C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B6C3C" w:rsidRDefault="006B6C3C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B6C3C" w:rsidRDefault="006B6C3C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B6C3C" w:rsidRDefault="006B6C3C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B6C3C" w:rsidRDefault="006B6C3C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B6C3C" w:rsidRDefault="006B6C3C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232CE" w:rsidRPr="001837C3" w:rsidRDefault="00491074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</w:t>
            </w:r>
          </w:p>
        </w:tc>
      </w:tr>
      <w:tr w:rsidR="006232CE" w:rsidRPr="001837C3" w:rsidTr="003731F6">
        <w:trPr>
          <w:trHeight w:val="11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CE" w:rsidRPr="00BE551A" w:rsidRDefault="00BE551A" w:rsidP="0062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CE" w:rsidRPr="001837C3" w:rsidRDefault="003731F6" w:rsidP="003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Писмо на МФ№  04-13-231</w:t>
            </w:r>
            <w:r w:rsidR="00C1045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/02</w:t>
            </w:r>
            <w:r w:rsidR="00C1045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</w:t>
            </w:r>
            <w:r w:rsidR="00C1045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  <w:r w:rsidR="00C1045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CE" w:rsidRPr="001837C3" w:rsidRDefault="00C10459" w:rsidP="003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Чл. 1</w:t>
            </w:r>
            <w:r w:rsidR="003731F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110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, ал.</w:t>
            </w:r>
            <w:r w:rsidR="003731F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ЗПФ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CE" w:rsidRPr="001837C3" w:rsidRDefault="003731F6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Одобрени допълнителни разходи по бюджета на НСИ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CE" w:rsidRPr="001837C3" w:rsidRDefault="003731F6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Национална статистическа програма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CE" w:rsidRPr="001837C3" w:rsidRDefault="003731F6" w:rsidP="003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5 499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CE" w:rsidRPr="001837C3" w:rsidRDefault="003731F6" w:rsidP="0062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</w:t>
            </w:r>
          </w:p>
        </w:tc>
      </w:tr>
      <w:tr w:rsidR="003731F6" w:rsidRPr="001837C3" w:rsidTr="00C02437">
        <w:trPr>
          <w:trHeight w:val="11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F6" w:rsidRPr="00BE551A" w:rsidRDefault="00BE551A" w:rsidP="00C0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F6" w:rsidRPr="001837C3" w:rsidRDefault="003731F6" w:rsidP="003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Писмо на МФ № 04-08-112/22.12.2023 г.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F6" w:rsidRPr="001837C3" w:rsidRDefault="003731F6" w:rsidP="00C0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110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, ал.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ЗПФ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1F6" w:rsidRPr="001837C3" w:rsidRDefault="003731F6" w:rsidP="00C0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Одобрени допълнителни разходи по бюджета на НСИ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1F6" w:rsidRPr="001837C3" w:rsidRDefault="003731F6" w:rsidP="00C0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Национална статистическа програма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1F6" w:rsidRPr="001837C3" w:rsidRDefault="003731F6" w:rsidP="003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385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F6" w:rsidRPr="001837C3" w:rsidRDefault="003731F6" w:rsidP="00C0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</w:t>
            </w:r>
          </w:p>
        </w:tc>
      </w:tr>
    </w:tbl>
    <w:p w:rsidR="003101A5" w:rsidRDefault="003101A5">
      <w:pPr>
        <w:rPr>
          <w:rFonts w:ascii="Times New Roman" w:hAnsi="Times New Roman" w:cs="Times New Roman"/>
          <w:sz w:val="18"/>
          <w:szCs w:val="18"/>
        </w:rPr>
      </w:pPr>
    </w:p>
    <w:p w:rsidR="00447307" w:rsidRPr="00686FEB" w:rsidRDefault="00686FEB" w:rsidP="0044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отчетния период не са извършвани промени на показателите по бюджета на НСИ.</w:t>
      </w:r>
    </w:p>
    <w:p w:rsidR="00686FEB" w:rsidRDefault="00686FEB" w:rsidP="0044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17853" w:rsidRPr="0035248B" w:rsidRDefault="00447307" w:rsidP="003F31E3">
      <w:pPr>
        <w:pStyle w:val="Heading1"/>
        <w:spacing w:before="120" w:after="120"/>
        <w:ind w:right="-23" w:firstLine="708"/>
        <w:jc w:val="center"/>
        <w:rPr>
          <w:rFonts w:eastAsiaTheme="minorHAnsi" w:cstheme="minorBidi"/>
          <w:bCs w:val="0"/>
          <w:lang w:val="bg-BG"/>
        </w:rPr>
      </w:pPr>
      <w:r w:rsidRPr="0035248B">
        <w:rPr>
          <w:rFonts w:eastAsiaTheme="minorHAnsi" w:cstheme="minorBidi"/>
          <w:bCs w:val="0"/>
          <w:lang w:val="bg-BG"/>
        </w:rPr>
        <w:t>Отчет за 202</w:t>
      </w:r>
      <w:r w:rsidR="0019315F" w:rsidRPr="0035248B">
        <w:rPr>
          <w:rFonts w:eastAsiaTheme="minorHAnsi" w:cstheme="minorBidi"/>
          <w:bCs w:val="0"/>
          <w:lang w:val="bg-BG"/>
        </w:rPr>
        <w:t>3</w:t>
      </w:r>
      <w:r w:rsidRPr="0035248B">
        <w:rPr>
          <w:rFonts w:eastAsiaTheme="minorHAnsi" w:cstheme="minorBidi"/>
          <w:bCs w:val="0"/>
          <w:lang w:val="bg-BG"/>
        </w:rPr>
        <w:t xml:space="preserve"> г. по бюджетна </w:t>
      </w:r>
      <w:r w:rsidR="00CC0AB2" w:rsidRPr="0035248B">
        <w:rPr>
          <w:rFonts w:eastAsiaTheme="minorHAnsi" w:cstheme="minorBidi"/>
          <w:bCs w:val="0"/>
          <w:lang w:val="bg-BG"/>
        </w:rPr>
        <w:t>програма</w:t>
      </w:r>
    </w:p>
    <w:p w:rsidR="00447307" w:rsidRPr="0035248B" w:rsidRDefault="00447307" w:rsidP="003F31E3">
      <w:pPr>
        <w:pStyle w:val="Heading1"/>
        <w:spacing w:before="120" w:after="120"/>
        <w:ind w:right="-23" w:firstLine="708"/>
        <w:jc w:val="center"/>
        <w:rPr>
          <w:rFonts w:eastAsiaTheme="minorHAnsi" w:cstheme="minorBidi"/>
          <w:bCs w:val="0"/>
          <w:lang w:val="bg-BG"/>
        </w:rPr>
      </w:pPr>
      <w:r w:rsidRPr="0035248B">
        <w:rPr>
          <w:rFonts w:eastAsiaTheme="minorHAnsi" w:cstheme="minorBidi"/>
          <w:bCs w:val="0"/>
          <w:lang w:val="bg-BG"/>
        </w:rPr>
        <w:t xml:space="preserve"> „Национална статистическа програма“</w:t>
      </w:r>
    </w:p>
    <w:p w:rsidR="00447307" w:rsidRPr="0035248B" w:rsidRDefault="00447307" w:rsidP="00447307">
      <w:pPr>
        <w:pStyle w:val="Heading1"/>
        <w:spacing w:before="120" w:after="240"/>
        <w:ind w:right="-23" w:firstLine="567"/>
        <w:jc w:val="center"/>
        <w:rPr>
          <w:lang w:val="bg-BG"/>
        </w:rPr>
      </w:pPr>
    </w:p>
    <w:p w:rsidR="00447307" w:rsidRPr="0035248B" w:rsidRDefault="00684B7A" w:rsidP="00447307">
      <w:pPr>
        <w:pStyle w:val="ListParagraph"/>
        <w:numPr>
          <w:ilvl w:val="0"/>
          <w:numId w:val="3"/>
        </w:numPr>
        <w:spacing w:before="24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5248B">
        <w:rPr>
          <w:rFonts w:ascii="Times New Roman" w:hAnsi="Times New Roman"/>
          <w:b/>
          <w:sz w:val="24"/>
          <w:szCs w:val="24"/>
        </w:rPr>
        <w:t xml:space="preserve">Проблеми, </w:t>
      </w:r>
      <w:r w:rsidR="00447307" w:rsidRPr="0035248B">
        <w:rPr>
          <w:rFonts w:ascii="Times New Roman" w:hAnsi="Times New Roman"/>
          <w:b/>
          <w:sz w:val="24"/>
          <w:szCs w:val="24"/>
        </w:rPr>
        <w:t>решения</w:t>
      </w:r>
      <w:r w:rsidRPr="0035248B">
        <w:rPr>
          <w:rFonts w:ascii="Times New Roman" w:hAnsi="Times New Roman"/>
          <w:b/>
          <w:sz w:val="24"/>
          <w:szCs w:val="24"/>
        </w:rPr>
        <w:t xml:space="preserve"> и допълнителни дейности и изследвания</w:t>
      </w:r>
    </w:p>
    <w:p w:rsidR="00684B7A" w:rsidRPr="0035248B" w:rsidRDefault="00684B7A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B7A" w:rsidRPr="0035248B" w:rsidRDefault="00684B7A" w:rsidP="00684B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Националната статистическа програма за 2023 година е разработена в съответствие с Глава трета от Закона за статистиката. Програмата включва плана за дейността на Националния статистически институт (НСИ) и плановете за статистическите дейности на органите на статистиката.</w:t>
      </w:r>
    </w:p>
    <w:p w:rsidR="00684B7A" w:rsidRPr="0035248B" w:rsidRDefault="00684B7A" w:rsidP="00684B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 xml:space="preserve">Развитието на методологията, производството и разпространението на статистическа информация  в Националната статистическа система на Р България се осъществява на базата на приети единни европейски стандарти и хармонизирани методи. Включените нови изследвания и дейности в Националната статистическа програма за 2023 г. са </w:t>
      </w:r>
      <w:r w:rsidRPr="0035248B">
        <w:rPr>
          <w:rFonts w:ascii="Times New Roman" w:hAnsi="Times New Roman" w:cs="Times New Roman"/>
          <w:sz w:val="24"/>
          <w:szCs w:val="24"/>
        </w:rPr>
        <w:lastRenderedPageBreak/>
        <w:t>свързани с нуждите на потребителите и с приоритетите заложени в Годишната европейска статистическа програма за 2023 г. Новите изследвания и дейности са: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- Ревизиране на данните за населението към 31.12.;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- Разработване на прогнози за населението;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- Наблюдение на структурата на заплатите 2022;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- Читалища;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- Пенсионни права в социалното осигуряване;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- Биомаса;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- Профилиране на многонационални групи предприятия с национално значение;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- Координация и докладване на статистически данни за оценяване на напредъка по Целите за устойчиво развитие 2030 на ООН;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- Длъжности, заемани в органите на съдебната власт по пол към 31.12.;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- Териториални единици за статистически цели и териториални типологии;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- Ревизия на КИД-2008 и КПИД-2015;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- Провеждане на Международен конкурс за статистически плакат;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 xml:space="preserve">- Брой регистрирани безработни лица и брой започнали работа лица по седмици; 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- Брой регистрирани безработни украински граждани със статут на временна закрила;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- Брой неактивни за пазара на труда лица;</w:t>
      </w:r>
    </w:p>
    <w:p w:rsidR="00684B7A" w:rsidRPr="0035248B" w:rsidRDefault="00684B7A" w:rsidP="00684B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- Интегрирана статистика на земеделските стопанства през 2023 г. (IFS2023).</w:t>
      </w:r>
    </w:p>
    <w:p w:rsidR="00684B7A" w:rsidRPr="0035248B" w:rsidRDefault="00684B7A" w:rsidP="00684B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Резултатите от статистическите изследвания, включени в Националната статистическа програма, са достъпни за всички потребители. Сроковете, формата и видът, в които се предоставят резултатите, са съобразени с изискванията на Евростат.</w:t>
      </w:r>
    </w:p>
    <w:p w:rsidR="00684B7A" w:rsidRPr="0035248B" w:rsidRDefault="00684B7A" w:rsidP="00684B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48B">
        <w:rPr>
          <w:rFonts w:ascii="Times New Roman" w:hAnsi="Times New Roman" w:cs="Times New Roman"/>
          <w:sz w:val="24"/>
          <w:szCs w:val="24"/>
        </w:rPr>
        <w:t>Във връзка с оптимизирането на разходите и намаляване натоварването на респондентите са направени промени в организацията на някои изследвания и съкращаване на сроковете за предоставяне на статистическата информация на потребителите.</w:t>
      </w:r>
    </w:p>
    <w:p w:rsidR="00125DD9" w:rsidRPr="0035248B" w:rsidRDefault="00125DD9" w:rsidP="00DF74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4A8" w:rsidRPr="0035248B" w:rsidRDefault="00DF74A8" w:rsidP="00DF74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AB2" w:rsidRPr="0035248B" w:rsidRDefault="00CC0AB2">
      <w:pPr>
        <w:rPr>
          <w:rFonts w:ascii="Times New Roman" w:hAnsi="Times New Roman" w:cs="Times New Roman"/>
          <w:sz w:val="18"/>
          <w:szCs w:val="18"/>
        </w:rPr>
      </w:pPr>
      <w:r w:rsidRPr="0035248B">
        <w:rPr>
          <w:rFonts w:ascii="Times New Roman" w:hAnsi="Times New Roman" w:cs="Times New Roman"/>
          <w:sz w:val="18"/>
          <w:szCs w:val="18"/>
        </w:rPr>
        <w:br w:type="page"/>
      </w:r>
      <w:bookmarkStart w:id="0" w:name="_GoBack"/>
      <w:bookmarkEnd w:id="0"/>
    </w:p>
    <w:p w:rsidR="003101A5" w:rsidRPr="0035248B" w:rsidRDefault="003101A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36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418"/>
        <w:gridCol w:w="1417"/>
        <w:gridCol w:w="1134"/>
        <w:gridCol w:w="8"/>
      </w:tblGrid>
      <w:tr w:rsidR="00C40EBE" w:rsidRPr="0035248B" w:rsidTr="00C66635">
        <w:trPr>
          <w:trHeight w:val="255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Отчет на показателите за изпълнение </w:t>
            </w:r>
          </w:p>
          <w:p w:rsidR="00017766" w:rsidRPr="0035248B" w:rsidRDefault="00017766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40EBE" w:rsidRPr="0035248B" w:rsidTr="00C66635">
        <w:trPr>
          <w:gridAfter w:val="1"/>
          <w:wAfter w:w="8" w:type="dxa"/>
          <w:trHeight w:val="1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40EBE" w:rsidRPr="0035248B" w:rsidRDefault="00E01E12" w:rsidP="00107C33">
            <w:pPr>
              <w:spacing w:after="0" w:line="240" w:lineRule="auto"/>
              <w:ind w:left="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ПОКАЗАТЕЛИ ЗА ИЗПЪЛНЕНИЕ </w:t>
            </w:r>
          </w:p>
          <w:p w:rsidR="00E01E12" w:rsidRPr="0035248B" w:rsidRDefault="00E01E12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4100.01.01 Бюджетна програма „Национална статистическа програма“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Мерна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Целева стойност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C40EBE" w:rsidRPr="0035248B" w:rsidTr="00C66635">
        <w:trPr>
          <w:gridAfter w:val="1"/>
          <w:wAfter w:w="8" w:type="dxa"/>
          <w:trHeight w:val="25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1.Статистически изследвания и дейности по отделните области в НСП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Бр. статист. изследвания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E01E12" w:rsidP="00BF1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</w:t>
            </w:r>
            <w:r w:rsidR="00BF10AB"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EBE" w:rsidRPr="0035248B" w:rsidRDefault="0072687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341</w:t>
            </w:r>
          </w:p>
        </w:tc>
      </w:tr>
      <w:tr w:rsidR="00C40EBE" w:rsidRPr="0035248B" w:rsidTr="00C66635">
        <w:trPr>
          <w:gridAfter w:val="1"/>
          <w:wAfter w:w="8" w:type="dxa"/>
          <w:trHeight w:val="25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5248B" w:rsidRDefault="00C111E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</w:t>
            </w:r>
            <w:r w:rsidR="00C40EBE"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Демографска и социална статистика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BF10AB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EBE" w:rsidRPr="0035248B" w:rsidRDefault="0072687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84</w:t>
            </w:r>
          </w:p>
        </w:tc>
      </w:tr>
      <w:tr w:rsidR="00C40EBE" w:rsidRPr="0035248B" w:rsidTr="00C66635">
        <w:trPr>
          <w:gridAfter w:val="1"/>
          <w:wAfter w:w="8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Макроикономическа статистика;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BF10AB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EBE" w:rsidRPr="0035248B" w:rsidRDefault="0072687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26</w:t>
            </w:r>
          </w:p>
        </w:tc>
      </w:tr>
      <w:tr w:rsidR="00C40EBE" w:rsidRPr="0035248B" w:rsidTr="00C66635">
        <w:trPr>
          <w:gridAfter w:val="1"/>
          <w:wAfter w:w="8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Бизнес статистика;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BF10AB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EBE" w:rsidRPr="0035248B" w:rsidRDefault="0072687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94</w:t>
            </w:r>
          </w:p>
        </w:tc>
      </w:tr>
      <w:tr w:rsidR="00C40EBE" w:rsidRPr="0035248B" w:rsidTr="00C66635">
        <w:trPr>
          <w:gridAfter w:val="1"/>
          <w:wAfter w:w="8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Статистика на селското и горското стопанство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EBE" w:rsidRPr="0035248B" w:rsidRDefault="0072687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33</w:t>
            </w:r>
          </w:p>
        </w:tc>
      </w:tr>
      <w:tr w:rsidR="00C40EBE" w:rsidRPr="0035248B" w:rsidTr="00C66635">
        <w:trPr>
          <w:gridAfter w:val="1"/>
          <w:wAfter w:w="8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Многоотраслова статистика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E01E12" w:rsidP="00BF1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  <w:r w:rsidR="00BF10AB"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EBE" w:rsidRPr="0035248B" w:rsidRDefault="0072687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46</w:t>
            </w:r>
          </w:p>
        </w:tc>
      </w:tr>
      <w:tr w:rsidR="00C40EBE" w:rsidRPr="0035248B" w:rsidTr="00C66635">
        <w:trPr>
          <w:gridAfter w:val="1"/>
          <w:wAfter w:w="8" w:type="dxa"/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</w:t>
            </w:r>
            <w:r w:rsidR="00C111EE"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Статистическа инфраструктура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EBE" w:rsidRPr="0035248B" w:rsidRDefault="0072687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58</w:t>
            </w:r>
          </w:p>
        </w:tc>
      </w:tr>
      <w:tr w:rsidR="00C40EBE" w:rsidRPr="0035248B" w:rsidTr="00C66635">
        <w:trPr>
          <w:gridAfter w:val="1"/>
          <w:wAfter w:w="8" w:type="dxa"/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2.Относителен дял на новите изследвания и дейности от общия брой изследвания и дейности в НСП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BF10AB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EBE" w:rsidRPr="0035248B" w:rsidRDefault="006B117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6</w:t>
            </w:r>
          </w:p>
        </w:tc>
      </w:tr>
      <w:tr w:rsidR="00C40EBE" w:rsidRPr="0035248B" w:rsidTr="00C66635">
        <w:trPr>
          <w:gridAfter w:val="1"/>
          <w:wAfter w:w="8" w:type="dxa"/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3.Дял на изследванията с доклади за качеството/показатели за качеството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BF10AB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9</w:t>
            </w:r>
            <w:r w:rsidR="00E01E12"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EBE" w:rsidRPr="0035248B" w:rsidRDefault="0072687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90</w:t>
            </w:r>
          </w:p>
        </w:tc>
      </w:tr>
      <w:tr w:rsidR="00C40EBE" w:rsidRPr="0035248B" w:rsidTr="00C66635">
        <w:trPr>
          <w:gridAfter w:val="1"/>
          <w:wAfter w:w="8" w:type="dxa"/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4.Посещения на страницата на НСИ в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C40EBE" w:rsidP="00BF1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  <w:r w:rsidR="00BF10AB"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2 </w:t>
            </w: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EBE" w:rsidRPr="0035248B" w:rsidRDefault="006B117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2 681 110</w:t>
            </w:r>
          </w:p>
        </w:tc>
      </w:tr>
      <w:tr w:rsidR="00C40EBE" w:rsidRPr="0035248B" w:rsidTr="00C66635">
        <w:trPr>
          <w:gridAfter w:val="1"/>
          <w:wAfter w:w="8" w:type="dxa"/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5.Публикувани последни актуални данни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C40EBE" w:rsidP="00BF1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1 4</w:t>
            </w:r>
            <w:r w:rsidR="00BF10AB"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80</w:t>
            </w: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EBE" w:rsidRPr="0035248B" w:rsidRDefault="006B117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2 463</w:t>
            </w:r>
          </w:p>
        </w:tc>
      </w:tr>
      <w:tr w:rsidR="00C40EBE" w:rsidRPr="0035248B" w:rsidTr="00C66635">
        <w:trPr>
          <w:gridAfter w:val="1"/>
          <w:wAfter w:w="8" w:type="dxa"/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6.Прессъобщения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BF10AB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900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EBE" w:rsidRPr="0035248B" w:rsidRDefault="006B117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746</w:t>
            </w:r>
          </w:p>
        </w:tc>
      </w:tr>
      <w:tr w:rsidR="00C40EBE" w:rsidRPr="0035248B" w:rsidTr="00C66635">
        <w:trPr>
          <w:gridAfter w:val="1"/>
          <w:wAfter w:w="8" w:type="dxa"/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7.Публикувани метаданни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EBE" w:rsidRPr="0035248B" w:rsidRDefault="006B117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290</w:t>
            </w:r>
          </w:p>
        </w:tc>
      </w:tr>
      <w:tr w:rsidR="00C40EBE" w:rsidRPr="0035248B" w:rsidTr="00C66635">
        <w:trPr>
          <w:gridAfter w:val="1"/>
          <w:wAfter w:w="8" w:type="dxa"/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8.Информационни материали, предоставени по заявка на потребители в страната и чужбина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C40EBE" w:rsidP="00BF1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  <w:r w:rsidR="00BF10AB"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7</w:t>
            </w: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EBE" w:rsidRPr="0035248B" w:rsidRDefault="006B117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2 256</w:t>
            </w:r>
          </w:p>
        </w:tc>
      </w:tr>
      <w:tr w:rsidR="00C40EBE" w:rsidRPr="0035248B" w:rsidTr="00C66635">
        <w:trPr>
          <w:gridAfter w:val="1"/>
          <w:wAfter w:w="8" w:type="dxa"/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9.Действащи споразумения за информационен обмен с органи на държавната администрация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BF10AB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EBE" w:rsidRPr="0035248B" w:rsidRDefault="00192839" w:rsidP="006B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6</w:t>
            </w:r>
            <w:r w:rsidR="006B1178"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9</w:t>
            </w:r>
          </w:p>
        </w:tc>
      </w:tr>
      <w:tr w:rsidR="00C40EBE" w:rsidRPr="0035248B" w:rsidTr="00C66635">
        <w:trPr>
          <w:gridAfter w:val="1"/>
          <w:wAfter w:w="8" w:type="dxa"/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10.Предоставяне на статистическа информация по въпросници на международни организации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BF10AB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EBE" w:rsidRPr="0035248B" w:rsidRDefault="006B117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87</w:t>
            </w:r>
          </w:p>
        </w:tc>
      </w:tr>
      <w:tr w:rsidR="00C40EBE" w:rsidRPr="0035248B" w:rsidTr="00C66635">
        <w:trPr>
          <w:gridAfter w:val="1"/>
          <w:wAfter w:w="8" w:type="dxa"/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11.Участие на НСИ в междуведомствени работни групи на национално равнище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 групи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BF10AB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EBE" w:rsidRPr="0035248B" w:rsidRDefault="00192839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178</w:t>
            </w:r>
          </w:p>
        </w:tc>
      </w:tr>
      <w:tr w:rsidR="00C40EBE" w:rsidRPr="0035248B" w:rsidTr="00C66635">
        <w:trPr>
          <w:gridAfter w:val="1"/>
          <w:wAfter w:w="8" w:type="dxa"/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12.Проведени изследвания за мнението на потребителите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EBE" w:rsidRPr="0035248B" w:rsidRDefault="00192839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</w:t>
            </w:r>
          </w:p>
        </w:tc>
      </w:tr>
      <w:tr w:rsidR="00C40EBE" w:rsidRPr="0035248B" w:rsidTr="00C66635">
        <w:trPr>
          <w:gridAfter w:val="1"/>
          <w:wAfter w:w="8" w:type="dxa"/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13.Проведени обучения на служителите от НСИ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 участия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C40EBE" w:rsidP="00BF1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73</w:t>
            </w:r>
            <w:r w:rsidR="00BF10AB"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EBE" w:rsidRPr="0035248B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</w:tr>
      <w:tr w:rsidR="00C40EBE" w:rsidRPr="0035248B" w:rsidTr="00C66635">
        <w:trPr>
          <w:gridAfter w:val="1"/>
          <w:wAfter w:w="8" w:type="dxa"/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14.Относителен дял на изследванията, които се базират на административни източници, от всички изследвания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BF10AB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EBE" w:rsidRPr="0035248B" w:rsidRDefault="00192839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18</w:t>
            </w:r>
          </w:p>
        </w:tc>
      </w:tr>
      <w:tr w:rsidR="00C40EBE" w:rsidRPr="0035248B" w:rsidTr="00C66635">
        <w:trPr>
          <w:gridAfter w:val="1"/>
          <w:wAfter w:w="8" w:type="dxa"/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15.Европейски проекти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824CF1" w:rsidP="00BF1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  <w:r w:rsidR="00BF10AB"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EBE" w:rsidRPr="0035248B" w:rsidRDefault="00192839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22</w:t>
            </w:r>
          </w:p>
        </w:tc>
      </w:tr>
      <w:tr w:rsidR="00C40EBE" w:rsidRPr="0035248B" w:rsidTr="00C66635">
        <w:trPr>
          <w:gridAfter w:val="1"/>
          <w:wAfter w:w="8" w:type="dxa"/>
          <w:trHeight w:val="4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16.Участие на НСИ в комитети и работни групи на европейско и международно равнище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5248B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 срещи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5248B" w:rsidRDefault="00BF10AB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EBE" w:rsidRPr="0035248B" w:rsidRDefault="00192839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524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95</w:t>
            </w:r>
          </w:p>
        </w:tc>
      </w:tr>
    </w:tbl>
    <w:p w:rsidR="00107C33" w:rsidRPr="0035248B" w:rsidRDefault="00107C33">
      <w:pPr>
        <w:rPr>
          <w:rFonts w:ascii="Times New Roman" w:hAnsi="Times New Roman" w:cs="Times New Roman"/>
          <w:sz w:val="18"/>
          <w:szCs w:val="18"/>
        </w:rPr>
      </w:pPr>
    </w:p>
    <w:p w:rsidR="00126111" w:rsidRPr="00126111" w:rsidRDefault="00481BF5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248B">
        <w:rPr>
          <w:rFonts w:ascii="Times New Roman" w:hAnsi="Times New Roman"/>
          <w:sz w:val="24"/>
          <w:szCs w:val="24"/>
        </w:rPr>
        <w:t>През</w:t>
      </w:r>
      <w:r w:rsidR="009643FE" w:rsidRPr="003524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248B">
        <w:rPr>
          <w:rFonts w:ascii="Times New Roman" w:hAnsi="Times New Roman"/>
          <w:sz w:val="24"/>
          <w:szCs w:val="24"/>
        </w:rPr>
        <w:t>202</w:t>
      </w:r>
      <w:r w:rsidR="0019315F" w:rsidRPr="0035248B">
        <w:rPr>
          <w:rFonts w:ascii="Times New Roman" w:hAnsi="Times New Roman"/>
          <w:sz w:val="24"/>
          <w:szCs w:val="24"/>
        </w:rPr>
        <w:t>3</w:t>
      </w:r>
      <w:r w:rsidRPr="0035248B">
        <w:rPr>
          <w:rFonts w:ascii="Times New Roman" w:hAnsi="Times New Roman"/>
          <w:sz w:val="24"/>
          <w:szCs w:val="24"/>
        </w:rPr>
        <w:t xml:space="preserve"> г., НСИ стартира в срок всички статистически изследвания, както са </w:t>
      </w:r>
      <w:r w:rsidR="006901FB" w:rsidRPr="0035248B">
        <w:rPr>
          <w:rFonts w:ascii="Times New Roman" w:hAnsi="Times New Roman"/>
          <w:sz w:val="24"/>
          <w:szCs w:val="24"/>
        </w:rPr>
        <w:t>планирани</w:t>
      </w:r>
      <w:r w:rsidRPr="0035248B">
        <w:rPr>
          <w:rFonts w:ascii="Times New Roman" w:hAnsi="Times New Roman"/>
          <w:sz w:val="24"/>
          <w:szCs w:val="24"/>
        </w:rPr>
        <w:t xml:space="preserve"> в Националната статистическа програма.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7C33" w:rsidRDefault="00107C3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17766" w:rsidRDefault="00017766">
      <w:pPr>
        <w:rPr>
          <w:rFonts w:ascii="Times New Roman" w:hAnsi="Times New Roman" w:cs="Times New Roman"/>
          <w:sz w:val="18"/>
          <w:szCs w:val="18"/>
        </w:rPr>
      </w:pPr>
    </w:p>
    <w:p w:rsidR="004C15FE" w:rsidRDefault="004C15F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417"/>
        <w:gridCol w:w="1418"/>
      </w:tblGrid>
      <w:tr w:rsidR="004C15FE" w:rsidRPr="004C15FE" w:rsidTr="00454E93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 на разходите по бюджетните програми с разпределение по ведомствени и администрирани разходи по бюджетна програма „Национална статистическа програма“</w:t>
            </w:r>
          </w:p>
          <w:p w:rsidR="004C15FE" w:rsidRPr="004C15FE" w:rsidRDefault="004C15FE" w:rsidP="004C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C15FE" w:rsidRPr="004C15FE" w:rsidTr="00454E9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4C15FE" w:rsidRPr="004C15FE" w:rsidRDefault="004C15FE" w:rsidP="004C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4C15FE" w:rsidRPr="004C15FE" w:rsidRDefault="004C15FE" w:rsidP="004C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4100.01.01 Бюджетна програма „Национална статистическа програма“</w:t>
            </w: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(в лева)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4C15FE" w:rsidRPr="004C15FE" w:rsidRDefault="004C15FE" w:rsidP="004C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4C15FE" w:rsidRPr="004C15FE" w:rsidRDefault="004C15FE" w:rsidP="004C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4C15FE" w:rsidRPr="004C15FE" w:rsidRDefault="004C15FE" w:rsidP="004C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ведомствени разходи: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9E5CD0" w:rsidRDefault="009E5CD0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34 256 600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CC11C7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33 645 249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360067" w:rsidRDefault="0036006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33 305 797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9E5CD0" w:rsidRDefault="009E5CD0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26 931 100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CC11C7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25 617 995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360067" w:rsidRDefault="0036006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25 531 206</w:t>
            </w:r>
          </w:p>
        </w:tc>
      </w:tr>
      <w:tr w:rsidR="004C15FE" w:rsidRPr="004C15FE" w:rsidTr="0092326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9E5CD0" w:rsidRDefault="009E5CD0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3 841 500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5FE" w:rsidRPr="00CC11C7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4 493 254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360067" w:rsidRDefault="0036006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4 377 330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3 484 000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CC11C7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3 534 000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360067" w:rsidRDefault="0036006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3 397 261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Ведомствени разходи по бюджета на ПРБ: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841C9D" w:rsidRDefault="00841C9D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30 812 600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CC11C7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30 870 504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CC11C7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30 565 980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841C9D" w:rsidRDefault="00841C9D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23 687 100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CC11C7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23 104 792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CC11C7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23 052 931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3 641 500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CC11C7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4 231 712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CC11C7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4 115 788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3 484 000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CC11C7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3 534 000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CC11C7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3 397 261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Ведомствени разходи по други бюджети и сметки за средства от 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9E5CD0" w:rsidRDefault="009E5CD0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3 444 000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0E2632" w:rsidRDefault="000E2632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2 774 745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8D10B4" w:rsidRDefault="008D10B4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2 739 817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9E5CD0" w:rsidRDefault="009E5CD0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0E2632" w:rsidRDefault="000E2632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2 513 203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8D10B4" w:rsidRDefault="008D10B4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2 478 275</w:t>
            </w:r>
          </w:p>
        </w:tc>
      </w:tr>
      <w:tr w:rsidR="004C15FE" w:rsidRPr="004C15FE" w:rsidTr="0092326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9E5CD0" w:rsidRDefault="009E5CD0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5FE" w:rsidRPr="00CA1972" w:rsidRDefault="00CA1972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261 542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CA1972" w:rsidRDefault="00CA1972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261 542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От тях за: 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2.1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1.Проекти ГРАНТ с Евростат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9E5CD0" w:rsidRDefault="009E5CD0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3 444 000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C8608C" w:rsidRDefault="00C8608C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2 768 245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C8608C" w:rsidRDefault="00C8608C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2 733 317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2.2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2.Проект финансиран от ФМ на ЕИП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9F231C" w:rsidRDefault="009F231C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9F231C" w:rsidRDefault="009F231C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6 500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по бюджета (І.1+ІІ):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9E5CD0" w:rsidRDefault="009E5CD0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30 812 600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30 870 504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9E5CD0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30 565 980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Администрирани разходни параграфи по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Pr="004C1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(І+ІІ+ІІІ):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9E5CD0" w:rsidP="00776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34 256 </w:t>
            </w:r>
            <w:r w:rsidR="00776B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00</w:t>
            </w:r>
            <w:r w:rsidR="004C15FE"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33 645 249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C15FE" w:rsidRPr="004C15FE" w:rsidRDefault="0043324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33 305 797</w:t>
            </w:r>
            <w:r w:rsidR="004C15FE"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Численост на щатния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CC11C7" w:rsidRDefault="00CC11C7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33247" w:rsidRDefault="00923263" w:rsidP="0043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87</w:t>
            </w:r>
            <w:r w:rsidR="004332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</w:t>
            </w:r>
          </w:p>
        </w:tc>
      </w:tr>
      <w:tr w:rsidR="004C15FE" w:rsidRPr="004C15FE" w:rsidTr="00454E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5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Численост на извънщатния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FE" w:rsidRPr="004C15FE" w:rsidRDefault="004C15FE" w:rsidP="004C1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</w:tr>
    </w:tbl>
    <w:p w:rsidR="004C15FE" w:rsidRDefault="004C15FE">
      <w:pPr>
        <w:rPr>
          <w:rFonts w:ascii="Times New Roman" w:hAnsi="Times New Roman" w:cs="Times New Roman"/>
          <w:sz w:val="18"/>
          <w:szCs w:val="18"/>
        </w:rPr>
      </w:pPr>
    </w:p>
    <w:p w:rsidR="00017766" w:rsidRDefault="00017766">
      <w:pPr>
        <w:rPr>
          <w:rFonts w:ascii="Times New Roman" w:hAnsi="Times New Roman" w:cs="Times New Roman"/>
          <w:sz w:val="18"/>
          <w:szCs w:val="18"/>
        </w:rPr>
      </w:pPr>
    </w:p>
    <w:p w:rsidR="00574B82" w:rsidRDefault="00574B82">
      <w:pPr>
        <w:rPr>
          <w:rFonts w:ascii="Times New Roman" w:hAnsi="Times New Roman" w:cs="Times New Roman"/>
          <w:sz w:val="18"/>
          <w:szCs w:val="18"/>
        </w:rPr>
      </w:pPr>
    </w:p>
    <w:p w:rsidR="00447307" w:rsidRDefault="00447307">
      <w:pPr>
        <w:rPr>
          <w:rFonts w:ascii="Times New Roman" w:hAnsi="Times New Roman" w:cs="Times New Roman"/>
          <w:sz w:val="18"/>
          <w:szCs w:val="18"/>
        </w:rPr>
      </w:pPr>
    </w:p>
    <w:p w:rsidR="0019315F" w:rsidRDefault="0019315F">
      <w:pPr>
        <w:rPr>
          <w:rFonts w:ascii="Times New Roman" w:hAnsi="Times New Roman" w:cs="Times New Roman"/>
          <w:sz w:val="18"/>
          <w:szCs w:val="18"/>
        </w:rPr>
      </w:pPr>
    </w:p>
    <w:p w:rsidR="0019315F" w:rsidRDefault="0019315F">
      <w:pPr>
        <w:rPr>
          <w:rFonts w:ascii="Times New Roman" w:hAnsi="Times New Roman" w:cs="Times New Roman"/>
          <w:sz w:val="18"/>
          <w:szCs w:val="18"/>
        </w:rPr>
      </w:pPr>
    </w:p>
    <w:p w:rsidR="0019315F" w:rsidRDefault="0019315F">
      <w:pPr>
        <w:rPr>
          <w:rFonts w:ascii="Times New Roman" w:hAnsi="Times New Roman" w:cs="Times New Roman"/>
          <w:sz w:val="18"/>
          <w:szCs w:val="18"/>
        </w:rPr>
      </w:pPr>
    </w:p>
    <w:p w:rsidR="0019315F" w:rsidRDefault="0019315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41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105"/>
        <w:gridCol w:w="1560"/>
        <w:gridCol w:w="1278"/>
        <w:gridCol w:w="1264"/>
        <w:gridCol w:w="10"/>
      </w:tblGrid>
      <w:tr w:rsidR="00574B82" w:rsidRPr="00447307" w:rsidTr="003F31E3">
        <w:trPr>
          <w:trHeight w:val="1290"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B82" w:rsidRPr="003F31E3" w:rsidRDefault="00574B82" w:rsidP="00B23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Справка за разходите по области на политики/функционални области и бюджетни програми, утвърдени със ЗДБРБ за 202</w:t>
            </w:r>
            <w:r w:rsidR="00A0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="00B2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към  31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B2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12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.202</w:t>
            </w:r>
            <w:r w:rsidR="0019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г. по </w:t>
            </w:r>
            <w:r w:rsidR="00685581"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юджета на Национал</w:t>
            </w:r>
            <w:r w:rsidR="0010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ния 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статистически институт</w:t>
            </w:r>
          </w:p>
        </w:tc>
      </w:tr>
      <w:tr w:rsidR="00447307" w:rsidRPr="00574B82" w:rsidTr="006B116D">
        <w:trPr>
          <w:gridAfter w:val="1"/>
          <w:wAfter w:w="10" w:type="dxa"/>
          <w:trHeight w:val="7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574B82" w:rsidRPr="00574B82" w:rsidRDefault="00574B82" w:rsidP="00C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Наименование на </w:t>
            </w:r>
            <w:r w:rsidR="00CC43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функционалната област 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Разходи (в хил. лв.)</w:t>
            </w:r>
          </w:p>
        </w:tc>
      </w:tr>
      <w:tr w:rsidR="00447307" w:rsidRPr="00574B82" w:rsidTr="006B116D">
        <w:trPr>
          <w:gridAfter w:val="1"/>
          <w:wAfter w:w="10" w:type="dxa"/>
          <w:trHeight w:val="46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</w:t>
            </w: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план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447307" w:rsidRPr="00574B82" w:rsidTr="006B116D">
        <w:trPr>
          <w:gridAfter w:val="1"/>
          <w:wAfter w:w="10" w:type="dxa"/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Функционална област„ 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C03171" w:rsidRDefault="00C03171" w:rsidP="00C03171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031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30 812,6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404BC9" w:rsidRDefault="00404BC9" w:rsidP="004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30 870,5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7F7DDE" w:rsidRDefault="00D346EF" w:rsidP="007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               </w:t>
            </w:r>
            <w:r w:rsidR="007F7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30 566,0</w:t>
            </w:r>
          </w:p>
        </w:tc>
      </w:tr>
      <w:tr w:rsidR="00447307" w:rsidRPr="00574B82" w:rsidTr="006B116D">
        <w:trPr>
          <w:gridAfter w:val="1"/>
          <w:wAfter w:w="10" w:type="dxa"/>
          <w:trHeight w:val="3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"Национална статистическа програма"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C03171" w:rsidRDefault="00C03171" w:rsidP="00C03171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30 812,6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404BC9" w:rsidP="004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30 870,5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7F7DDE" w:rsidRDefault="007F7DDE" w:rsidP="007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30 566,0</w:t>
            </w:r>
          </w:p>
        </w:tc>
      </w:tr>
    </w:tbl>
    <w:p w:rsidR="00574B82" w:rsidRDefault="00574B82">
      <w:pPr>
        <w:rPr>
          <w:rFonts w:ascii="Times New Roman" w:hAnsi="Times New Roman" w:cs="Times New Roman"/>
          <w:sz w:val="18"/>
          <w:szCs w:val="18"/>
        </w:rPr>
      </w:pPr>
    </w:p>
    <w:p w:rsidR="00447307" w:rsidRDefault="00447307">
      <w:pPr>
        <w:rPr>
          <w:rFonts w:ascii="Times New Roman" w:hAnsi="Times New Roman" w:cs="Times New Roman"/>
          <w:sz w:val="18"/>
          <w:szCs w:val="18"/>
        </w:rPr>
      </w:pPr>
    </w:p>
    <w:p w:rsidR="00447307" w:rsidRDefault="00447307">
      <w:pPr>
        <w:rPr>
          <w:rFonts w:ascii="Times New Roman" w:hAnsi="Times New Roman" w:cs="Times New Roman"/>
          <w:sz w:val="18"/>
          <w:szCs w:val="18"/>
        </w:rPr>
      </w:pPr>
      <w:bookmarkStart w:id="1" w:name="ІІІ.1._ДЕМОГРАФСКА_И_СОЦИАЛНА_СТАТИСТИКА"/>
      <w:bookmarkStart w:id="2" w:name="bookmark12"/>
      <w:bookmarkEnd w:id="1"/>
      <w:bookmarkEnd w:id="2"/>
    </w:p>
    <w:p w:rsidR="00447307" w:rsidRDefault="00447307" w:rsidP="003F31E3">
      <w:pPr>
        <w:ind w:left="2832" w:firstLine="708"/>
        <w:rPr>
          <w:rFonts w:ascii="Times New Roman" w:hAnsi="Times New Roman" w:cs="Times New Roman"/>
          <w:sz w:val="18"/>
          <w:szCs w:val="18"/>
        </w:rPr>
      </w:pPr>
    </w:p>
    <w:p w:rsidR="002A1D36" w:rsidRPr="006D3AC0" w:rsidRDefault="00E82D53" w:rsidP="003F31E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D3AC0">
        <w:rPr>
          <w:rFonts w:ascii="Times New Roman" w:hAnsi="Times New Roman" w:cs="Times New Roman"/>
          <w:b/>
          <w:sz w:val="24"/>
          <w:szCs w:val="24"/>
        </w:rPr>
        <w:t>ПРЕДСЕДАТЕЛ НА НСИ</w:t>
      </w:r>
      <w:r w:rsidR="00447307" w:rsidRPr="006D3AC0">
        <w:rPr>
          <w:rFonts w:ascii="Times New Roman" w:hAnsi="Times New Roman" w:cs="Times New Roman"/>
          <w:b/>
          <w:sz w:val="24"/>
          <w:szCs w:val="24"/>
        </w:rPr>
        <w:t>:</w:t>
      </w:r>
    </w:p>
    <w:p w:rsidR="001436F8" w:rsidRPr="006D3AC0" w:rsidRDefault="00684B7A" w:rsidP="006D3AC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Доц. д</w:t>
      </w:r>
      <w:r w:rsidR="006D3AC0" w:rsidRPr="006D3AC0">
        <w:rPr>
          <w:rFonts w:ascii="Times New Roman" w:hAnsi="Times New Roman" w:cs="Times New Roman"/>
          <w:b/>
          <w:sz w:val="24"/>
          <w:szCs w:val="24"/>
        </w:rPr>
        <w:t>-р АТАНАС АТАНАСОВ</w:t>
      </w:r>
    </w:p>
    <w:p w:rsidR="00684B7A" w:rsidRPr="006D3AC0" w:rsidRDefault="00684B7A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684B7A" w:rsidRPr="006D3AC0" w:rsidSect="003F31E3">
      <w:footerReference w:type="default" r:id="rId8"/>
      <w:pgSz w:w="11906" w:h="16838" w:code="9"/>
      <w:pgMar w:top="1418" w:right="1274" w:bottom="1418" w:left="1418" w:header="709" w:footer="709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4E" w:rsidRDefault="00943B4E" w:rsidP="00D53512">
      <w:pPr>
        <w:spacing w:after="0" w:line="240" w:lineRule="auto"/>
      </w:pPr>
      <w:r>
        <w:separator/>
      </w:r>
    </w:p>
  </w:endnote>
  <w:endnote w:type="continuationSeparator" w:id="0">
    <w:p w:rsidR="00943B4E" w:rsidRDefault="00943B4E" w:rsidP="00D5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4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20B" w:rsidRDefault="006752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48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7520B" w:rsidRDefault="00675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4E" w:rsidRDefault="00943B4E" w:rsidP="00D53512">
      <w:pPr>
        <w:spacing w:after="0" w:line="240" w:lineRule="auto"/>
      </w:pPr>
      <w:r>
        <w:separator/>
      </w:r>
    </w:p>
  </w:footnote>
  <w:footnote w:type="continuationSeparator" w:id="0">
    <w:p w:rsidR="00943B4E" w:rsidRDefault="00943B4E" w:rsidP="00D5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D73"/>
    <w:multiLevelType w:val="hybridMultilevel"/>
    <w:tmpl w:val="881E8B7E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39C146E"/>
    <w:multiLevelType w:val="hybridMultilevel"/>
    <w:tmpl w:val="DB46C054"/>
    <w:lvl w:ilvl="0" w:tplc="BB702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E0C"/>
    <w:multiLevelType w:val="hybridMultilevel"/>
    <w:tmpl w:val="62C6AD2C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0DD1452A"/>
    <w:multiLevelType w:val="hybridMultilevel"/>
    <w:tmpl w:val="1EE80AF4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12A154C2"/>
    <w:multiLevelType w:val="hybridMultilevel"/>
    <w:tmpl w:val="AD04DFE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F5195"/>
    <w:multiLevelType w:val="hybridMultilevel"/>
    <w:tmpl w:val="F09C2F04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1527380A"/>
    <w:multiLevelType w:val="hybridMultilevel"/>
    <w:tmpl w:val="19D08E2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F85EF4"/>
    <w:multiLevelType w:val="hybridMultilevel"/>
    <w:tmpl w:val="57F0E5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56E5"/>
    <w:multiLevelType w:val="hybridMultilevel"/>
    <w:tmpl w:val="B0A409F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761537"/>
    <w:multiLevelType w:val="hybridMultilevel"/>
    <w:tmpl w:val="1D9092E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18109B"/>
    <w:multiLevelType w:val="hybridMultilevel"/>
    <w:tmpl w:val="86C83FD0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2F7C6DCA"/>
    <w:multiLevelType w:val="hybridMultilevel"/>
    <w:tmpl w:val="3600EA5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C357A7"/>
    <w:multiLevelType w:val="hybridMultilevel"/>
    <w:tmpl w:val="82EE74BE"/>
    <w:lvl w:ilvl="0" w:tplc="438CC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B2DA2"/>
    <w:multiLevelType w:val="hybridMultilevel"/>
    <w:tmpl w:val="B0E4C7C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564C4"/>
    <w:multiLevelType w:val="hybridMultilevel"/>
    <w:tmpl w:val="0C6E1CCA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F204DDC"/>
    <w:multiLevelType w:val="hybridMultilevel"/>
    <w:tmpl w:val="21123A0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16839D0"/>
    <w:multiLevelType w:val="hybridMultilevel"/>
    <w:tmpl w:val="421A456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D361C1"/>
    <w:multiLevelType w:val="hybridMultilevel"/>
    <w:tmpl w:val="09BA7DA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2B67E7"/>
    <w:multiLevelType w:val="hybridMultilevel"/>
    <w:tmpl w:val="A46EB5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1326D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0132B"/>
    <w:multiLevelType w:val="hybridMultilevel"/>
    <w:tmpl w:val="69C4240A"/>
    <w:lvl w:ilvl="0" w:tplc="BF8A932C">
      <w:start w:val="43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B1E26"/>
    <w:multiLevelType w:val="multilevel"/>
    <w:tmpl w:val="7B2A63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u w:val="single"/>
      </w:rPr>
    </w:lvl>
  </w:abstractNum>
  <w:abstractNum w:abstractNumId="21" w15:restartNumberingAfterBreak="0">
    <w:nsid w:val="622F5DB8"/>
    <w:multiLevelType w:val="hybridMultilevel"/>
    <w:tmpl w:val="05D65F52"/>
    <w:lvl w:ilvl="0" w:tplc="079658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74C17"/>
    <w:multiLevelType w:val="hybridMultilevel"/>
    <w:tmpl w:val="62F6E584"/>
    <w:lvl w:ilvl="0" w:tplc="26BEC3CE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04C6949"/>
    <w:multiLevelType w:val="hybridMultilevel"/>
    <w:tmpl w:val="A2007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96268"/>
    <w:multiLevelType w:val="hybridMultilevel"/>
    <w:tmpl w:val="E8328296"/>
    <w:lvl w:ilvl="0" w:tplc="CB62E9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6"/>
  </w:num>
  <w:num w:numId="5">
    <w:abstractNumId w:val="11"/>
  </w:num>
  <w:num w:numId="6">
    <w:abstractNumId w:val="6"/>
  </w:num>
  <w:num w:numId="7">
    <w:abstractNumId w:val="23"/>
  </w:num>
  <w:num w:numId="8">
    <w:abstractNumId w:val="1"/>
  </w:num>
  <w:num w:numId="9">
    <w:abstractNumId w:val="20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  <w:num w:numId="14">
    <w:abstractNumId w:val="3"/>
  </w:num>
  <w:num w:numId="15">
    <w:abstractNumId w:val="21"/>
  </w:num>
  <w:num w:numId="16">
    <w:abstractNumId w:val="12"/>
  </w:num>
  <w:num w:numId="17">
    <w:abstractNumId w:val="24"/>
  </w:num>
  <w:num w:numId="18">
    <w:abstractNumId w:val="17"/>
  </w:num>
  <w:num w:numId="19">
    <w:abstractNumId w:val="4"/>
  </w:num>
  <w:num w:numId="20">
    <w:abstractNumId w:val="7"/>
  </w:num>
  <w:num w:numId="21">
    <w:abstractNumId w:val="14"/>
  </w:num>
  <w:num w:numId="22">
    <w:abstractNumId w:val="8"/>
  </w:num>
  <w:num w:numId="23">
    <w:abstractNumId w:val="9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A"/>
    <w:rsid w:val="000111E3"/>
    <w:rsid w:val="00017766"/>
    <w:rsid w:val="000326C1"/>
    <w:rsid w:val="000376E1"/>
    <w:rsid w:val="000426E0"/>
    <w:rsid w:val="00043BDF"/>
    <w:rsid w:val="00043FAD"/>
    <w:rsid w:val="0005098D"/>
    <w:rsid w:val="000558CF"/>
    <w:rsid w:val="00057847"/>
    <w:rsid w:val="000602D4"/>
    <w:rsid w:val="00073B26"/>
    <w:rsid w:val="00086B5A"/>
    <w:rsid w:val="00090D5A"/>
    <w:rsid w:val="00097CC5"/>
    <w:rsid w:val="000D28B7"/>
    <w:rsid w:val="000E2632"/>
    <w:rsid w:val="000E364C"/>
    <w:rsid w:val="000F4A18"/>
    <w:rsid w:val="001072E6"/>
    <w:rsid w:val="00107C33"/>
    <w:rsid w:val="0011142C"/>
    <w:rsid w:val="00125DD9"/>
    <w:rsid w:val="00126111"/>
    <w:rsid w:val="001261B0"/>
    <w:rsid w:val="00132FFD"/>
    <w:rsid w:val="00134DC1"/>
    <w:rsid w:val="001436F8"/>
    <w:rsid w:val="00157371"/>
    <w:rsid w:val="00160684"/>
    <w:rsid w:val="0016629C"/>
    <w:rsid w:val="00174A75"/>
    <w:rsid w:val="001824CE"/>
    <w:rsid w:val="001837C3"/>
    <w:rsid w:val="00186D13"/>
    <w:rsid w:val="00192839"/>
    <w:rsid w:val="0019315F"/>
    <w:rsid w:val="001941DC"/>
    <w:rsid w:val="001A59F6"/>
    <w:rsid w:val="001B0E37"/>
    <w:rsid w:val="001F43B6"/>
    <w:rsid w:val="00203848"/>
    <w:rsid w:val="002132A0"/>
    <w:rsid w:val="00217853"/>
    <w:rsid w:val="00221678"/>
    <w:rsid w:val="00223EBE"/>
    <w:rsid w:val="00227DED"/>
    <w:rsid w:val="00237521"/>
    <w:rsid w:val="00244F0A"/>
    <w:rsid w:val="00246E43"/>
    <w:rsid w:val="002543A6"/>
    <w:rsid w:val="00267EC7"/>
    <w:rsid w:val="00267ED0"/>
    <w:rsid w:val="002731ED"/>
    <w:rsid w:val="00276E08"/>
    <w:rsid w:val="002774A1"/>
    <w:rsid w:val="00281198"/>
    <w:rsid w:val="00281A20"/>
    <w:rsid w:val="00282054"/>
    <w:rsid w:val="002A1D36"/>
    <w:rsid w:val="002A4E03"/>
    <w:rsid w:val="002B3318"/>
    <w:rsid w:val="002C4016"/>
    <w:rsid w:val="002C4B94"/>
    <w:rsid w:val="002F63DA"/>
    <w:rsid w:val="00303B8E"/>
    <w:rsid w:val="003101A5"/>
    <w:rsid w:val="003343D8"/>
    <w:rsid w:val="003348C3"/>
    <w:rsid w:val="00347CE6"/>
    <w:rsid w:val="0035248B"/>
    <w:rsid w:val="00356E6C"/>
    <w:rsid w:val="00360067"/>
    <w:rsid w:val="00365C3C"/>
    <w:rsid w:val="00371661"/>
    <w:rsid w:val="003731F6"/>
    <w:rsid w:val="00382BAF"/>
    <w:rsid w:val="00387CA2"/>
    <w:rsid w:val="003901A9"/>
    <w:rsid w:val="003A0EA5"/>
    <w:rsid w:val="003A6098"/>
    <w:rsid w:val="003B64D7"/>
    <w:rsid w:val="003C413E"/>
    <w:rsid w:val="003F31E3"/>
    <w:rsid w:val="003F6026"/>
    <w:rsid w:val="00404BC9"/>
    <w:rsid w:val="0041322B"/>
    <w:rsid w:val="00432843"/>
    <w:rsid w:val="00433247"/>
    <w:rsid w:val="004425EA"/>
    <w:rsid w:val="00447307"/>
    <w:rsid w:val="00452CEF"/>
    <w:rsid w:val="00454267"/>
    <w:rsid w:val="00454E93"/>
    <w:rsid w:val="00462E6B"/>
    <w:rsid w:val="00481BF5"/>
    <w:rsid w:val="00491074"/>
    <w:rsid w:val="00491B28"/>
    <w:rsid w:val="004A56E6"/>
    <w:rsid w:val="004A7054"/>
    <w:rsid w:val="004B534A"/>
    <w:rsid w:val="004C15FE"/>
    <w:rsid w:val="004C1DB6"/>
    <w:rsid w:val="004D7384"/>
    <w:rsid w:val="004E4244"/>
    <w:rsid w:val="004E6273"/>
    <w:rsid w:val="004E7940"/>
    <w:rsid w:val="004F7EFF"/>
    <w:rsid w:val="00506931"/>
    <w:rsid w:val="00507346"/>
    <w:rsid w:val="00507DE5"/>
    <w:rsid w:val="0052018D"/>
    <w:rsid w:val="0054405E"/>
    <w:rsid w:val="0054468F"/>
    <w:rsid w:val="00552F70"/>
    <w:rsid w:val="00574AAC"/>
    <w:rsid w:val="00574B82"/>
    <w:rsid w:val="00581FC8"/>
    <w:rsid w:val="005A3533"/>
    <w:rsid w:val="005C298A"/>
    <w:rsid w:val="005C2AD4"/>
    <w:rsid w:val="005C57CB"/>
    <w:rsid w:val="005D43F2"/>
    <w:rsid w:val="005E7617"/>
    <w:rsid w:val="0060712A"/>
    <w:rsid w:val="006117B3"/>
    <w:rsid w:val="0061568E"/>
    <w:rsid w:val="006232CE"/>
    <w:rsid w:val="00644CBC"/>
    <w:rsid w:val="00654BA5"/>
    <w:rsid w:val="006639CA"/>
    <w:rsid w:val="006720AB"/>
    <w:rsid w:val="0067520B"/>
    <w:rsid w:val="006770CE"/>
    <w:rsid w:val="00684B7A"/>
    <w:rsid w:val="00684F1C"/>
    <w:rsid w:val="00685581"/>
    <w:rsid w:val="00686B4F"/>
    <w:rsid w:val="00686FEB"/>
    <w:rsid w:val="006879B2"/>
    <w:rsid w:val="006901FB"/>
    <w:rsid w:val="006940B7"/>
    <w:rsid w:val="00696CD2"/>
    <w:rsid w:val="00697925"/>
    <w:rsid w:val="006A0F8C"/>
    <w:rsid w:val="006A3CB4"/>
    <w:rsid w:val="006B116D"/>
    <w:rsid w:val="006B1178"/>
    <w:rsid w:val="006B35AB"/>
    <w:rsid w:val="006B6C3C"/>
    <w:rsid w:val="006C08FC"/>
    <w:rsid w:val="006D3AC0"/>
    <w:rsid w:val="006D51DA"/>
    <w:rsid w:val="006D617A"/>
    <w:rsid w:val="006E370D"/>
    <w:rsid w:val="006F042F"/>
    <w:rsid w:val="007050D0"/>
    <w:rsid w:val="00706645"/>
    <w:rsid w:val="00711CAE"/>
    <w:rsid w:val="0071685C"/>
    <w:rsid w:val="007218D0"/>
    <w:rsid w:val="00722554"/>
    <w:rsid w:val="00723B69"/>
    <w:rsid w:val="00726871"/>
    <w:rsid w:val="00735309"/>
    <w:rsid w:val="00740653"/>
    <w:rsid w:val="00756236"/>
    <w:rsid w:val="00765876"/>
    <w:rsid w:val="00776BB7"/>
    <w:rsid w:val="00780543"/>
    <w:rsid w:val="00781A67"/>
    <w:rsid w:val="00783ABC"/>
    <w:rsid w:val="0078555F"/>
    <w:rsid w:val="007A270A"/>
    <w:rsid w:val="007C0EB5"/>
    <w:rsid w:val="007C42C5"/>
    <w:rsid w:val="007C56BF"/>
    <w:rsid w:val="007D0701"/>
    <w:rsid w:val="007D0DC6"/>
    <w:rsid w:val="007D4814"/>
    <w:rsid w:val="007E1BA0"/>
    <w:rsid w:val="007F7DDE"/>
    <w:rsid w:val="0080607D"/>
    <w:rsid w:val="00824CF1"/>
    <w:rsid w:val="00836D47"/>
    <w:rsid w:val="00840384"/>
    <w:rsid w:val="00841C9D"/>
    <w:rsid w:val="00851A0C"/>
    <w:rsid w:val="00853EEE"/>
    <w:rsid w:val="00857D42"/>
    <w:rsid w:val="00865EA1"/>
    <w:rsid w:val="00887006"/>
    <w:rsid w:val="0089657D"/>
    <w:rsid w:val="008B56D3"/>
    <w:rsid w:val="008C426B"/>
    <w:rsid w:val="008D07A7"/>
    <w:rsid w:val="008D10B4"/>
    <w:rsid w:val="00900903"/>
    <w:rsid w:val="00903DC3"/>
    <w:rsid w:val="00906EA0"/>
    <w:rsid w:val="0091274C"/>
    <w:rsid w:val="009144DD"/>
    <w:rsid w:val="00923263"/>
    <w:rsid w:val="009276CA"/>
    <w:rsid w:val="00932A94"/>
    <w:rsid w:val="00943B4E"/>
    <w:rsid w:val="0095728A"/>
    <w:rsid w:val="00960C21"/>
    <w:rsid w:val="00961FD1"/>
    <w:rsid w:val="0096317D"/>
    <w:rsid w:val="009643FE"/>
    <w:rsid w:val="00970996"/>
    <w:rsid w:val="00974B61"/>
    <w:rsid w:val="00987F4D"/>
    <w:rsid w:val="009B56E1"/>
    <w:rsid w:val="009B6D12"/>
    <w:rsid w:val="009C0C27"/>
    <w:rsid w:val="009C1BD6"/>
    <w:rsid w:val="009D4C89"/>
    <w:rsid w:val="009E1A1B"/>
    <w:rsid w:val="009E5CD0"/>
    <w:rsid w:val="009F1FCE"/>
    <w:rsid w:val="009F231C"/>
    <w:rsid w:val="009F5B28"/>
    <w:rsid w:val="00A07DE7"/>
    <w:rsid w:val="00A22242"/>
    <w:rsid w:val="00A22A22"/>
    <w:rsid w:val="00A32F19"/>
    <w:rsid w:val="00A60DF7"/>
    <w:rsid w:val="00A60E2F"/>
    <w:rsid w:val="00A651F6"/>
    <w:rsid w:val="00A773B7"/>
    <w:rsid w:val="00A84DDB"/>
    <w:rsid w:val="00A91D8A"/>
    <w:rsid w:val="00A91F35"/>
    <w:rsid w:val="00AA3988"/>
    <w:rsid w:val="00AB04AD"/>
    <w:rsid w:val="00AC0E61"/>
    <w:rsid w:val="00AD1FD9"/>
    <w:rsid w:val="00AD3B3C"/>
    <w:rsid w:val="00AD4357"/>
    <w:rsid w:val="00AD45A0"/>
    <w:rsid w:val="00AD7E77"/>
    <w:rsid w:val="00AF0307"/>
    <w:rsid w:val="00AF60AA"/>
    <w:rsid w:val="00B01996"/>
    <w:rsid w:val="00B1328A"/>
    <w:rsid w:val="00B21F6C"/>
    <w:rsid w:val="00B23083"/>
    <w:rsid w:val="00B4692D"/>
    <w:rsid w:val="00B47BF4"/>
    <w:rsid w:val="00B60FA2"/>
    <w:rsid w:val="00B61FF9"/>
    <w:rsid w:val="00B65291"/>
    <w:rsid w:val="00B75ED8"/>
    <w:rsid w:val="00B82788"/>
    <w:rsid w:val="00B867B8"/>
    <w:rsid w:val="00B86B0D"/>
    <w:rsid w:val="00B925C8"/>
    <w:rsid w:val="00BA46EC"/>
    <w:rsid w:val="00BC555F"/>
    <w:rsid w:val="00BD0150"/>
    <w:rsid w:val="00BD0C02"/>
    <w:rsid w:val="00BD26DC"/>
    <w:rsid w:val="00BD37A4"/>
    <w:rsid w:val="00BD6D07"/>
    <w:rsid w:val="00BE551A"/>
    <w:rsid w:val="00BE5C5F"/>
    <w:rsid w:val="00BF0BFF"/>
    <w:rsid w:val="00BF10AB"/>
    <w:rsid w:val="00BF64C5"/>
    <w:rsid w:val="00C03171"/>
    <w:rsid w:val="00C10459"/>
    <w:rsid w:val="00C111EE"/>
    <w:rsid w:val="00C225E1"/>
    <w:rsid w:val="00C40EBE"/>
    <w:rsid w:val="00C5156C"/>
    <w:rsid w:val="00C54783"/>
    <w:rsid w:val="00C61F37"/>
    <w:rsid w:val="00C647EE"/>
    <w:rsid w:val="00C6537A"/>
    <w:rsid w:val="00C66635"/>
    <w:rsid w:val="00C71F05"/>
    <w:rsid w:val="00C71FDD"/>
    <w:rsid w:val="00C8025A"/>
    <w:rsid w:val="00C80AC2"/>
    <w:rsid w:val="00C8608C"/>
    <w:rsid w:val="00CA1972"/>
    <w:rsid w:val="00CB7F0A"/>
    <w:rsid w:val="00CC0AB2"/>
    <w:rsid w:val="00CC11C7"/>
    <w:rsid w:val="00CC430D"/>
    <w:rsid w:val="00CC45CB"/>
    <w:rsid w:val="00CC5A43"/>
    <w:rsid w:val="00CC6AAC"/>
    <w:rsid w:val="00CD6137"/>
    <w:rsid w:val="00CE041C"/>
    <w:rsid w:val="00CE6B42"/>
    <w:rsid w:val="00CF3E17"/>
    <w:rsid w:val="00D15A90"/>
    <w:rsid w:val="00D17E64"/>
    <w:rsid w:val="00D20333"/>
    <w:rsid w:val="00D346EF"/>
    <w:rsid w:val="00D371A9"/>
    <w:rsid w:val="00D44CD9"/>
    <w:rsid w:val="00D45F96"/>
    <w:rsid w:val="00D53512"/>
    <w:rsid w:val="00D55FF9"/>
    <w:rsid w:val="00DA27A7"/>
    <w:rsid w:val="00DC38AE"/>
    <w:rsid w:val="00DC7517"/>
    <w:rsid w:val="00DD7BF8"/>
    <w:rsid w:val="00DE0993"/>
    <w:rsid w:val="00DF74A8"/>
    <w:rsid w:val="00E01E12"/>
    <w:rsid w:val="00E03785"/>
    <w:rsid w:val="00E073B4"/>
    <w:rsid w:val="00E076DC"/>
    <w:rsid w:val="00E23004"/>
    <w:rsid w:val="00E249E4"/>
    <w:rsid w:val="00E506F8"/>
    <w:rsid w:val="00E630FE"/>
    <w:rsid w:val="00E82D53"/>
    <w:rsid w:val="00EA2133"/>
    <w:rsid w:val="00EA7240"/>
    <w:rsid w:val="00EB2C7C"/>
    <w:rsid w:val="00EB5469"/>
    <w:rsid w:val="00EB5EB0"/>
    <w:rsid w:val="00ED3436"/>
    <w:rsid w:val="00F01E7B"/>
    <w:rsid w:val="00F021DE"/>
    <w:rsid w:val="00F22883"/>
    <w:rsid w:val="00F24FEE"/>
    <w:rsid w:val="00F42F72"/>
    <w:rsid w:val="00F500A3"/>
    <w:rsid w:val="00F51E50"/>
    <w:rsid w:val="00F5787B"/>
    <w:rsid w:val="00F66ADC"/>
    <w:rsid w:val="00F67B72"/>
    <w:rsid w:val="00F739A1"/>
    <w:rsid w:val="00F7559F"/>
    <w:rsid w:val="00F806F3"/>
    <w:rsid w:val="00F825CC"/>
    <w:rsid w:val="00F83F8D"/>
    <w:rsid w:val="00F86D28"/>
    <w:rsid w:val="00FA1654"/>
    <w:rsid w:val="00FB199B"/>
    <w:rsid w:val="00FB66C9"/>
    <w:rsid w:val="00FC6A25"/>
    <w:rsid w:val="00FE37DD"/>
    <w:rsid w:val="00FE67F7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0DB2E0-F555-4F7C-BE7C-D3B1F14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07346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12"/>
  </w:style>
  <w:style w:type="paragraph" w:styleId="Footer">
    <w:name w:val="footer"/>
    <w:basedOn w:val="Normal"/>
    <w:link w:val="FooterChar"/>
    <w:uiPriority w:val="99"/>
    <w:unhideWhenUsed/>
    <w:rsid w:val="00D5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12"/>
  </w:style>
  <w:style w:type="paragraph" w:styleId="BodyText">
    <w:name w:val="Body Text"/>
    <w:basedOn w:val="Normal"/>
    <w:link w:val="BodyTextChar"/>
    <w:uiPriority w:val="99"/>
    <w:semiHidden/>
    <w:unhideWhenUsed/>
    <w:rsid w:val="006A0F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0F8C"/>
  </w:style>
  <w:style w:type="paragraph" w:styleId="ListParagraph">
    <w:name w:val="List Paragraph"/>
    <w:basedOn w:val="Normal"/>
    <w:uiPriority w:val="34"/>
    <w:qFormat/>
    <w:rsid w:val="007562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346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5073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6855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9F50-75F0-4FD0-BADD-AEC8C359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9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Arabadzhova</dc:creator>
  <cp:keywords/>
  <dc:description/>
  <cp:lastModifiedBy>Aneta Fasulkova</cp:lastModifiedBy>
  <cp:revision>79</cp:revision>
  <cp:lastPrinted>2023-08-21T08:46:00Z</cp:lastPrinted>
  <dcterms:created xsi:type="dcterms:W3CDTF">2024-02-13T08:20:00Z</dcterms:created>
  <dcterms:modified xsi:type="dcterms:W3CDTF">2024-03-21T13:54:00Z</dcterms:modified>
</cp:coreProperties>
</file>