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85" w:rsidRDefault="005E7685"/>
    <w:sectPr w:rsidR="005E7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CD" w:rsidRDefault="00C677CD" w:rsidP="006B2033">
      <w:r>
        <w:separator/>
      </w:r>
    </w:p>
  </w:endnote>
  <w:endnote w:type="continuationSeparator" w:id="0">
    <w:p w:rsidR="00C677CD" w:rsidRDefault="00C677CD" w:rsidP="006B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33" w:rsidRDefault="006B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33" w:rsidRDefault="006B2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33" w:rsidRDefault="006B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CD" w:rsidRDefault="00C677CD" w:rsidP="006B2033">
      <w:r>
        <w:separator/>
      </w:r>
    </w:p>
  </w:footnote>
  <w:footnote w:type="continuationSeparator" w:id="0">
    <w:p w:rsidR="00C677CD" w:rsidRDefault="00C677CD" w:rsidP="006B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33" w:rsidRDefault="006B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00" w:type="pct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76"/>
      <w:gridCol w:w="4734"/>
      <w:gridCol w:w="655"/>
      <w:gridCol w:w="1211"/>
      <w:gridCol w:w="707"/>
    </w:tblGrid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spacing w:before="100" w:beforeAutospacing="1" w:after="100" w:afterAutospacing="1"/>
            <w:outlineLvl w:val="1"/>
            <w:rPr>
              <w:rFonts w:ascii="Arial" w:eastAsia="Times New Roman" w:hAnsi="Arial" w:cs="Arial"/>
              <w:b/>
              <w:bCs/>
              <w:color w:val="4B0082"/>
              <w:sz w:val="36"/>
              <w:szCs w:val="36"/>
              <w:lang w:eastAsia="bg-BG"/>
            </w:rPr>
          </w:pPr>
          <w:r w:rsidRPr="006B2033">
            <w:rPr>
              <w:rFonts w:ascii="Arial" w:eastAsia="Times New Roman" w:hAnsi="Arial" w:cs="Arial"/>
              <w:b/>
              <w:bCs/>
              <w:color w:val="4B0082"/>
              <w:sz w:val="36"/>
              <w:szCs w:val="36"/>
              <w:lang w:eastAsia="bg-BG"/>
            </w:rPr>
            <w:t>Обобщено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Национален статистически институт ( 041******* ) </w:t>
          </w:r>
        </w:p>
      </w:tc>
      <w:tc>
        <w:tcPr>
          <w:tcW w:w="0" w:type="auto"/>
          <w:gridSpan w:val="3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B0082"/>
              <w:lang w:eastAsia="bg-BG"/>
            </w:rPr>
          </w:pPr>
          <w:r w:rsidRPr="006B2033">
            <w:rPr>
              <w:rFonts w:ascii="Arial" w:eastAsia="Times New Roman" w:hAnsi="Arial" w:cs="Arial"/>
              <w:color w:val="4B0082"/>
              <w:lang w:eastAsia="bg-BG"/>
            </w:rPr>
            <w:t xml:space="preserve">Период: 16.06.2022 - 16.06.2022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Код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Описание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Брой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Сума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01 </w:t>
          </w:r>
          <w:proofErr w:type="spellStart"/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xxxx</w:t>
          </w:r>
          <w:proofErr w:type="spellEnd"/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Заплати, възнаграждения и други плащания за персонала - нетна сума за изплащане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3 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358 733,37 лв.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10 </w:t>
          </w:r>
          <w:proofErr w:type="spellStart"/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xxxx</w:t>
          </w:r>
          <w:proofErr w:type="spellEnd"/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Издръжка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9 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6 939,54 лв.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92 </w:t>
          </w:r>
          <w:proofErr w:type="spellStart"/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xxxx</w:t>
          </w:r>
          <w:proofErr w:type="spellEnd"/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Закупуване на валута в брой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3 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1 955,83 лв.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Общо: 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 xml:space="preserve">15 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367 628,74 лв.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pict>
              <v:rect id="_x0000_i1025" style="width:0;height:1.5pt" o:hralign="center" o:hrstd="t" o:hr="t" fillcolor="#a0a0a0" stroked="f"/>
            </w:pict>
          </w:r>
        </w:p>
        <w:p w:rsidR="006B2033" w:rsidRPr="006B2033" w:rsidRDefault="006B2033" w:rsidP="006B2033">
          <w:pPr>
            <w:spacing w:before="100" w:beforeAutospacing="1" w:after="100" w:afterAutospacing="1"/>
            <w:outlineLvl w:val="1"/>
            <w:rPr>
              <w:rFonts w:ascii="Arial" w:eastAsia="Times New Roman" w:hAnsi="Arial" w:cs="Arial"/>
              <w:b/>
              <w:bCs/>
              <w:color w:val="4B0082"/>
              <w:sz w:val="36"/>
              <w:szCs w:val="36"/>
              <w:lang w:eastAsia="bg-BG"/>
            </w:rPr>
          </w:pPr>
          <w:r w:rsidRPr="006B2033">
            <w:rPr>
              <w:rFonts w:ascii="Arial" w:eastAsia="Times New Roman" w:hAnsi="Arial" w:cs="Arial"/>
              <w:b/>
              <w:bCs/>
              <w:color w:val="4B0082"/>
              <w:sz w:val="36"/>
              <w:szCs w:val="36"/>
              <w:lang w:eastAsia="bg-BG"/>
            </w:rPr>
            <w:t>По бюджетни организации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Операции с неуточнен код на бюджетно предприятие</w:t>
          </w:r>
        </w:p>
      </w:tc>
      <w:tc>
        <w:tcPr>
          <w:tcW w:w="0" w:type="auto"/>
          <w:gridSpan w:val="3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B0082"/>
              <w:lang w:eastAsia="bg-BG"/>
            </w:rPr>
          </w:pPr>
          <w:r w:rsidRPr="006B2033">
            <w:rPr>
              <w:rFonts w:ascii="Arial" w:eastAsia="Times New Roman" w:hAnsi="Arial" w:cs="Arial"/>
              <w:color w:val="4B0082"/>
              <w:lang w:eastAsia="bg-BG"/>
            </w:rPr>
            <w:t xml:space="preserve">Период: 16.06.2022 - 16.06.2022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Код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Описание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Брой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Сума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92 </w:t>
          </w:r>
          <w:proofErr w:type="spellStart"/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xxxx</w:t>
          </w:r>
          <w:proofErr w:type="spellEnd"/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Закупуване на валута в брой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2 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0,00 лв.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hyperlink r:id="rId1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Общо: 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 xml:space="preserve">2 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0,00 лв.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hyperlink r:id="rId2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40008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НСИ ( 0410000002 ) </w:t>
          </w:r>
        </w:p>
      </w:tc>
      <w:tc>
        <w:tcPr>
          <w:tcW w:w="0" w:type="auto"/>
          <w:gridSpan w:val="3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B0082"/>
              <w:lang w:eastAsia="bg-BG"/>
            </w:rPr>
          </w:pPr>
          <w:r w:rsidRPr="006B2033">
            <w:rPr>
              <w:rFonts w:ascii="Arial" w:eastAsia="Times New Roman" w:hAnsi="Arial" w:cs="Arial"/>
              <w:color w:val="4B0082"/>
              <w:lang w:eastAsia="bg-BG"/>
            </w:rPr>
            <w:t xml:space="preserve">Период: 16.06.2022 - 16.06.2022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Код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Описание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Брой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Сума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92 </w:t>
          </w:r>
          <w:proofErr w:type="spellStart"/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xxxx</w:t>
          </w:r>
          <w:proofErr w:type="spellEnd"/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Закупуване на валута в брой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1 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1 955,83 лв.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hyperlink r:id="rId3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Общо: 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 xml:space="preserve">1 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1 955,83 лв.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hyperlink r:id="rId4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40008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ТСБ-Североизток ( 0410030007 ) </w:t>
          </w:r>
        </w:p>
      </w:tc>
      <w:tc>
        <w:tcPr>
          <w:tcW w:w="0" w:type="auto"/>
          <w:gridSpan w:val="3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B0082"/>
              <w:lang w:eastAsia="bg-BG"/>
            </w:rPr>
          </w:pPr>
          <w:r w:rsidRPr="006B2033">
            <w:rPr>
              <w:rFonts w:ascii="Arial" w:eastAsia="Times New Roman" w:hAnsi="Arial" w:cs="Arial"/>
              <w:color w:val="4B0082"/>
              <w:lang w:eastAsia="bg-BG"/>
            </w:rPr>
            <w:t xml:space="preserve">Период: 16.06.2022 - 16.06.2022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Код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Описание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Брой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Сума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01 </w:t>
          </w:r>
          <w:proofErr w:type="spellStart"/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xxxx</w:t>
          </w:r>
          <w:proofErr w:type="spellEnd"/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Заплати, възнаграждения и други плащания за персонала - нетна сума за изплащане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1 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2 824,36 лв.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hyperlink r:id="rId5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10 </w:t>
          </w:r>
          <w:proofErr w:type="spellStart"/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xxxx</w:t>
          </w:r>
          <w:proofErr w:type="spellEnd"/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Издръжка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2 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61,02 лв.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hyperlink r:id="rId6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Общо: 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 xml:space="preserve">3 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2 885,38 лв.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hyperlink r:id="rId7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40008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ТСБ-Северозапад ( 0410150002 ) </w:t>
          </w:r>
        </w:p>
      </w:tc>
      <w:tc>
        <w:tcPr>
          <w:tcW w:w="0" w:type="auto"/>
          <w:gridSpan w:val="3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B0082"/>
              <w:lang w:eastAsia="bg-BG"/>
            </w:rPr>
          </w:pPr>
          <w:r w:rsidRPr="006B2033">
            <w:rPr>
              <w:rFonts w:ascii="Arial" w:eastAsia="Times New Roman" w:hAnsi="Arial" w:cs="Arial"/>
              <w:color w:val="4B0082"/>
              <w:lang w:eastAsia="bg-BG"/>
            </w:rPr>
            <w:t xml:space="preserve">Период: 16.06.2022 - 16.06.2022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Код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Описание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Брой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Сума</w:t>
          </w:r>
        </w:p>
      </w:tc>
      <w:tc>
        <w:tcPr>
          <w:tcW w:w="0" w:type="auto"/>
          <w:shd w:val="clear" w:color="auto" w:fill="BBBB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01 </w:t>
          </w:r>
          <w:proofErr w:type="spellStart"/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xxxx</w:t>
          </w:r>
          <w:proofErr w:type="spellEnd"/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Заплати, възнаграждения и други плащания за персонала - нетна сума за изплащане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2 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355 909,01 лв.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hyperlink r:id="rId8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10 </w:t>
          </w:r>
          <w:proofErr w:type="spellStart"/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xxxx</w:t>
          </w:r>
          <w:proofErr w:type="spellEnd"/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Издръжка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7 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6 878,52 лв.</w:t>
          </w:r>
        </w:p>
      </w:tc>
      <w:tc>
        <w:tcPr>
          <w:tcW w:w="0" w:type="auto"/>
          <w:shd w:val="clear" w:color="auto" w:fill="ECE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hyperlink r:id="rId9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00000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2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Общо: 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 xml:space="preserve">9 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r w:rsidRPr="006B2033">
            <w:rPr>
              <w:rFonts w:ascii="Arial" w:eastAsia="Times New Roman" w:hAnsi="Arial" w:cs="Arial"/>
              <w:color w:val="400080"/>
              <w:lang w:eastAsia="bg-BG"/>
            </w:rPr>
            <w:t>362 787,53 лв.</w:t>
          </w:r>
        </w:p>
      </w:tc>
      <w:tc>
        <w:tcPr>
          <w:tcW w:w="0" w:type="auto"/>
          <w:shd w:val="clear" w:color="auto" w:fill="CCCCFF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400080"/>
              <w:lang w:eastAsia="bg-BG"/>
            </w:rPr>
          </w:pPr>
          <w:hyperlink r:id="rId10" w:history="1">
            <w:r w:rsidRPr="006B2033">
              <w:rPr>
                <w:rFonts w:ascii="Arial" w:eastAsia="Times New Roman" w:hAnsi="Arial" w:cs="Arial"/>
                <w:color w:val="8B008B"/>
                <w:lang w:eastAsia="bg-BG"/>
              </w:rPr>
              <w:t>Виж &gt;&gt;</w:t>
            </w:r>
          </w:hyperlink>
          <w:r w:rsidRPr="006B2033">
            <w:rPr>
              <w:rFonts w:ascii="Arial" w:eastAsia="Times New Roman" w:hAnsi="Arial" w:cs="Arial"/>
              <w:color w:val="400080"/>
              <w:lang w:eastAsia="bg-BG"/>
            </w:rPr>
            <w:t xml:space="preserve"> 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  <w:tr w:rsidR="006B2033" w:rsidRPr="006B2033" w:rsidTr="006B2033">
      <w:trPr>
        <w:tblCellSpacing w:w="15" w:type="dxa"/>
        <w:jc w:val="center"/>
      </w:trPr>
      <w:tc>
        <w:tcPr>
          <w:tcW w:w="0" w:type="auto"/>
          <w:gridSpan w:val="5"/>
          <w:vAlign w:val="center"/>
          <w:hideMark/>
        </w:tcPr>
        <w:p w:rsidR="006B2033" w:rsidRPr="006B2033" w:rsidRDefault="006B2033" w:rsidP="006B2033">
          <w:pPr>
            <w:rPr>
              <w:rFonts w:ascii="Arial" w:eastAsia="Times New Roman" w:hAnsi="Arial" w:cs="Arial"/>
              <w:color w:val="000000"/>
              <w:lang w:eastAsia="bg-BG"/>
            </w:rPr>
          </w:pPr>
          <w:r w:rsidRPr="006B2033">
            <w:rPr>
              <w:rFonts w:ascii="Arial" w:eastAsia="Times New Roman" w:hAnsi="Arial" w:cs="Arial"/>
              <w:color w:val="000000"/>
              <w:lang w:eastAsia="bg-BG"/>
            </w:rPr>
            <w:t> </w:t>
          </w:r>
        </w:p>
      </w:tc>
    </w:tr>
  </w:tbl>
  <w:p w:rsidR="006B2033" w:rsidRDefault="006B203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33" w:rsidRDefault="006B2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33"/>
    <w:rsid w:val="005E7685"/>
    <w:rsid w:val="006B2033"/>
    <w:rsid w:val="00C0509C"/>
    <w:rsid w:val="00C6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5C9610-B083-4732-85A7-DDFCD00D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20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0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hyperlink" Target="https://212.122.164.250/sebra/payments/done_payments_obs.jsp" TargetMode="External"/><Relationship Id="rId1" Type="http://schemas.openxmlformats.org/officeDocument/2006/relationships/hyperlink" Target="https://212.122.164.250/sebra/payments/done_payments_obs.jsp" TargetMode="Externa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2022-06-16T13:04:00Z</dcterms:created>
  <dcterms:modified xsi:type="dcterms:W3CDTF">2022-06-16T13:04:00Z</dcterms:modified>
</cp:coreProperties>
</file>