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04" w:rsidRDefault="00293E04" w:rsidP="00293E04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293E04" w:rsidRDefault="00293E04" w:rsidP="00293E04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293E04" w:rsidRDefault="00293E04" w:rsidP="00293E0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93E04" w:rsidRDefault="00293E04" w:rsidP="00293E04">
      <w:pPr>
        <w:tabs>
          <w:tab w:val="left" w:pos="5655"/>
        </w:tabs>
        <w:spacing w:after="29"/>
        <w:ind w:right="-2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</w:p>
    <w:p w:rsidR="00293E04" w:rsidRDefault="00F33C96" w:rsidP="00293E04">
      <w:pPr>
        <w:spacing w:after="0" w:line="256" w:lineRule="auto"/>
        <w:ind w:left="4956" w:right="182" w:firstLine="708"/>
        <w:jc w:val="right"/>
        <w:rPr>
          <w:rFonts w:ascii="Times New Roman" w:eastAsia="Times New Roman" w:hAnsi="Times New Roman"/>
          <w:b/>
          <w:color w:val="000000"/>
          <w:sz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lang w:eastAsia="bg-BG"/>
        </w:rPr>
        <w:t>Приложение № 2</w:t>
      </w: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8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8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П О Р А З У М Е Н И Е</w:t>
      </w:r>
    </w:p>
    <w:p w:rsidR="00293E04" w:rsidRDefault="00293E04" w:rsidP="00293E04">
      <w:pPr>
        <w:spacing w:after="160" w:line="256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lang w:eastAsia="bg-BG"/>
        </w:rPr>
        <w:t>за сътрудничество и стратегическо партньорство при обмен на информация между Националния статистически институт и …………………………………………………..</w:t>
      </w:r>
    </w:p>
    <w:p w:rsidR="00293E04" w:rsidRDefault="00293E04" w:rsidP="00293E04">
      <w:pPr>
        <w:spacing w:after="160" w:line="256" w:lineRule="auto"/>
        <w:jc w:val="both"/>
        <w:rPr>
          <w:rFonts w:ascii="Times New Roman" w:eastAsia="Times New Roman" w:hAnsi="Times New Roman"/>
          <w:b/>
          <w:color w:val="000000"/>
          <w:sz w:val="24"/>
          <w:lang w:eastAsia="bg-BG"/>
        </w:rPr>
      </w:pPr>
    </w:p>
    <w:p w:rsidR="00293E04" w:rsidRDefault="00293E04" w:rsidP="00293E04">
      <w:pPr>
        <w:spacing w:after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Днес, …………………………….. г. в гр. София между: </w:t>
      </w:r>
    </w:p>
    <w:p w:rsidR="00293E04" w:rsidRDefault="00293E04" w:rsidP="00293E04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Националния статистически институт (НСИ),</w:t>
      </w:r>
      <w:r>
        <w:rPr>
          <w:rFonts w:ascii="Times New Roman" w:hAnsi="Times New Roman"/>
          <w:sz w:val="24"/>
          <w:szCs w:val="24"/>
        </w:rPr>
        <w:t xml:space="preserve"> с адрес: гр. София 1038, ул. ”Панайот Волов“ № 2, представляван от ………………………………………………………………-   ……………………………….., от една страна, и</w:t>
      </w:r>
    </w:p>
    <w:p w:rsidR="00293E04" w:rsidRDefault="00293E04" w:rsidP="00293E04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……………………………………………………………………………………., с адрес …………………………………..…………………………………., представлявано от ……………………………………………….……, от друга страна, </w:t>
      </w:r>
    </w:p>
    <w:p w:rsidR="00293E04" w:rsidRDefault="00293E04" w:rsidP="00293E04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наричани по-нататък „страните“, се споразумяха за следното: </w:t>
      </w:r>
    </w:p>
    <w:p w:rsidR="00293E04" w:rsidRDefault="00293E04" w:rsidP="00293E04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293E04" w:rsidRDefault="00293E04" w:rsidP="00293E04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ОБЩИ ПОЛОЖЕНИЯ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1.</w:t>
      </w:r>
      <w:r>
        <w:rPr>
          <w:rFonts w:ascii="Times New Roman" w:hAnsi="Times New Roman"/>
          <w:sz w:val="24"/>
        </w:rPr>
        <w:t xml:space="preserve"> С цел повишаване на ефективността, постигане на оптимална организация и координация при взаимодействието между двете институции и по-ефективното изпълнение на определените им функции и задачи, страните се споразумяват да си сътрудничат и координират действията си в процеса на производство и разпространение на статистическа информация.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2. (1</w:t>
      </w:r>
      <w:r>
        <w:rPr>
          <w:rFonts w:ascii="Times New Roman" w:hAnsi="Times New Roman"/>
          <w:sz w:val="24"/>
        </w:rPr>
        <w:t>) Сътрудничеството и координацията между НСИ и ………………………………. се осъществява при спазване на следните принципи: професионална независимост, безпристрастност, обективност, надеждност, опазване на статистическата тайна и ефективност на разходите.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(2)</w:t>
      </w:r>
      <w:r>
        <w:rPr>
          <w:rFonts w:ascii="Times New Roman" w:hAnsi="Times New Roman"/>
          <w:sz w:val="24"/>
        </w:rPr>
        <w:t xml:space="preserve"> Производството на статистическата информация е свързано със спазването на следните критерии за качество: адекватност, точност, навременност, пунктуалност, достъпност и яснота, сравнимост и логическа обвързаност.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(З)</w:t>
      </w:r>
      <w:r>
        <w:rPr>
          <w:rFonts w:ascii="Times New Roman" w:hAnsi="Times New Roman"/>
          <w:sz w:val="24"/>
        </w:rPr>
        <w:t xml:space="preserve"> При разработването, производството и разпространението на статистическата информация следва да се отчитат международните препоръки и добри практики.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 xml:space="preserve">II. </w:t>
      </w:r>
      <w:r>
        <w:rPr>
          <w:rFonts w:ascii="Times New Roman" w:hAnsi="Times New Roman"/>
          <w:b/>
          <w:sz w:val="24"/>
        </w:rPr>
        <w:t>РАЗПРЕДЕЛЕНИЕ НА ОТГОВОРНОСТИТЕ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3. (1)</w:t>
      </w:r>
      <w:r>
        <w:rPr>
          <w:rFonts w:ascii="Times New Roman" w:hAnsi="Times New Roman"/>
          <w:sz w:val="24"/>
        </w:rPr>
        <w:t xml:space="preserve"> НСИ предоставя на …………………………………….. безвъзмездно информация от статистическите изследвания, включени в Националната статистическа програма (НСП) по вид, обхват, структура и </w:t>
      </w:r>
      <w:proofErr w:type="spellStart"/>
      <w:r>
        <w:rPr>
          <w:rFonts w:ascii="Times New Roman" w:hAnsi="Times New Roman"/>
          <w:sz w:val="24"/>
        </w:rPr>
        <w:t>агрегация</w:t>
      </w:r>
      <w:proofErr w:type="spellEnd"/>
      <w:r>
        <w:rPr>
          <w:rFonts w:ascii="Times New Roman" w:hAnsi="Times New Roman"/>
          <w:sz w:val="24"/>
        </w:rPr>
        <w:t xml:space="preserve"> на данните, описани в Списъка на стандартните показатели - Образец № 1, представляващ неразделна част от споразумението.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(2)</w:t>
      </w:r>
      <w:r>
        <w:rPr>
          <w:rFonts w:ascii="Times New Roman" w:hAnsi="Times New Roman"/>
          <w:sz w:val="24"/>
        </w:rPr>
        <w:t xml:space="preserve"> НСИ предоставя информацията след приключване на обработките на статистическите данни от съответното изследване, в съответствие с ежегодно актуализирания Календар за разпространение на резултатите от статистическите изследвания на НСИ, публикуван на Интернет сайта на НСИ.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(3)</w:t>
      </w:r>
      <w:r>
        <w:rPr>
          <w:rFonts w:ascii="Times New Roman" w:hAnsi="Times New Roman"/>
          <w:sz w:val="24"/>
        </w:rPr>
        <w:t xml:space="preserve"> НСИ работи като изпълнител на възложени от …………………………………………. дейности, необходими за разработване и реализиране на европейски програми и проекти, чрез сключване на конкретен договор за възлагане в съответствие с чл. 7, ал. 2 от Закона за статистиката.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(4)</w:t>
      </w:r>
      <w:r>
        <w:rPr>
          <w:rFonts w:ascii="Times New Roman" w:hAnsi="Times New Roman"/>
          <w:sz w:val="24"/>
        </w:rPr>
        <w:t xml:space="preserve"> НСИ предоставя информация от статистически изследвания, които не са включени в НСП, както и информация, изискваща допълнително програмно осигуряване и обработка на данните, въз основа на сключване на конкретен договор, в съответствие с чл. 7, ал. 2 от Закона за статистиката.</w:t>
      </w: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4. (1)</w:t>
      </w:r>
      <w:r>
        <w:rPr>
          <w:rFonts w:ascii="Times New Roman" w:hAnsi="Times New Roman"/>
          <w:sz w:val="24"/>
        </w:rPr>
        <w:t xml:space="preserve"> …………………………………….. предоставя безвъзмездно информация на НСИ от информационните си системи по вид, обхват и структура, описани в Образец № 2, представляващ неразделна част от споразумението.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(2)</w:t>
      </w:r>
      <w:r>
        <w:rPr>
          <w:rFonts w:ascii="Times New Roman" w:hAnsi="Times New Roman"/>
          <w:sz w:val="24"/>
        </w:rPr>
        <w:t xml:space="preserve"> ……………………………………..</w:t>
      </w:r>
      <w:r>
        <w:t xml:space="preserve"> </w:t>
      </w:r>
      <w:r>
        <w:rPr>
          <w:rFonts w:ascii="Times New Roman" w:hAnsi="Times New Roman"/>
          <w:sz w:val="24"/>
        </w:rPr>
        <w:t>предоставя данни, метаданни и методологии за страните - членки на  Европейския съюз, както и за други страни от света, необходими за изследванията на НСИ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(3)</w:t>
      </w:r>
      <w:r>
        <w:rPr>
          <w:rFonts w:ascii="Times New Roman" w:hAnsi="Times New Roman"/>
          <w:sz w:val="24"/>
        </w:rPr>
        <w:t xml:space="preserve"> …………………………………….. предоставя безвъзмездно, при писмено поискване, събрани индивидуални данни и/или статистическа информация, необходими за провеждане на статистическите изследвания, включени в НСП и осигурява на НСИ безплатен достъп до необходимата информация в администрираните информационни системи и регистри, създадени със закон в съответствие с чл. 29, ал. 2 от Закона за статистиката.</w:t>
      </w:r>
    </w:p>
    <w:p w:rsidR="00293E04" w:rsidRDefault="00293E04" w:rsidP="00293E04">
      <w:pPr>
        <w:tabs>
          <w:tab w:val="left" w:pos="5580"/>
        </w:tabs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(4)</w:t>
      </w:r>
      <w:r>
        <w:rPr>
          <w:rFonts w:ascii="Times New Roman" w:hAnsi="Times New Roman"/>
          <w:sz w:val="24"/>
        </w:rPr>
        <w:t xml:space="preserve"> …………………………………….. предоставя данни, метаданни и методологии за конкретни показатели/таблици, предназначени за публикуване в изданията на НСИ. Данните се предоставят по зададени макети и в сроковете за авторите, заложени в Издателския план на НСИ. </w:t>
      </w:r>
      <w:r>
        <w:rPr>
          <w:rFonts w:ascii="Times New Roman" w:hAnsi="Times New Roman"/>
          <w:sz w:val="24"/>
        </w:rPr>
        <w:tab/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(5)</w:t>
      </w:r>
      <w:r>
        <w:rPr>
          <w:rFonts w:ascii="Times New Roman" w:hAnsi="Times New Roman"/>
          <w:sz w:val="24"/>
        </w:rPr>
        <w:t xml:space="preserve"> …………………………………….. участва в процеса на предпечатна подготовка по предоставената информация за публикуване в издания на НСИ (изчитане на коректури и подписване за печат).</w:t>
      </w: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 xml:space="preserve">III. </w:t>
      </w:r>
      <w:r>
        <w:rPr>
          <w:rFonts w:ascii="Times New Roman" w:hAnsi="Times New Roman"/>
          <w:b/>
          <w:sz w:val="24"/>
        </w:rPr>
        <w:t>ОБМЕН И РАЗПРОСТРАНЕНИЕ НА ИНФОРМАЦИЯ. ОПАЗВАНЕ НА СТАТИСТИЧЕСКАТА ТАЙНА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Чл. 5. </w:t>
      </w:r>
      <w:r>
        <w:rPr>
          <w:rFonts w:ascii="Times New Roman" w:hAnsi="Times New Roman"/>
          <w:sz w:val="24"/>
        </w:rPr>
        <w:t>Страните по споразумението си предоставят информация при спазване на изискванията за конфиденциалност на индивидуалните данни за наблюдаваните юридически и физически лица, в съответствие със Закона за статистиката.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6. (1)</w:t>
      </w:r>
      <w:r>
        <w:rPr>
          <w:rFonts w:ascii="Times New Roman" w:hAnsi="Times New Roman"/>
          <w:sz w:val="24"/>
        </w:rPr>
        <w:t xml:space="preserve"> Получаваните и събираните при статистически изследвания индивидуални данни са статистическа тайна и могат да бъдат използвани само за статистически цели.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(2)</w:t>
      </w:r>
      <w:r>
        <w:rPr>
          <w:rFonts w:ascii="Times New Roman" w:hAnsi="Times New Roman"/>
          <w:sz w:val="24"/>
        </w:rPr>
        <w:t xml:space="preserve"> Данните, предмет на настоящото споразумение, не могат да бъдат ползвани като  доказателство пред органите на изпълнителната и съдебната власт.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(3)</w:t>
      </w:r>
      <w:r>
        <w:rPr>
          <w:rFonts w:ascii="Times New Roman" w:hAnsi="Times New Roman"/>
          <w:sz w:val="24"/>
        </w:rPr>
        <w:t xml:space="preserve"> Регистрирането, използването, обработването и съхранението на статистически данни, представляващи класифицирана информация, държавна или служебна тайна, се извършва, съгласно изискванията на Закона за защита на класифицираната информация.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7.</w:t>
      </w:r>
      <w:r>
        <w:rPr>
          <w:rFonts w:ascii="Times New Roman" w:hAnsi="Times New Roman"/>
          <w:sz w:val="24"/>
        </w:rPr>
        <w:t xml:space="preserve"> Институцията, отговорна за съставянето и разпространението на съответните данни, ги публикува на своя интернет сайт и в други публикации съгласно утвърдените срокове.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8.</w:t>
      </w:r>
      <w:r>
        <w:rPr>
          <w:rFonts w:ascii="Times New Roman" w:hAnsi="Times New Roman"/>
          <w:sz w:val="24"/>
        </w:rPr>
        <w:t xml:space="preserve"> Данни, които са предмет на публикация от страна на производителя не могат да бъдат публикувани от Получателят, по-рано от обявената за публикуване от производителя дата.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9.</w:t>
      </w:r>
      <w:r>
        <w:rPr>
          <w:rFonts w:ascii="Times New Roman" w:hAnsi="Times New Roman"/>
          <w:sz w:val="24"/>
        </w:rPr>
        <w:t xml:space="preserve"> Страните се задължават да използват получената информация само за статистически цели, като при разпространение посочват източника на информацията.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10.</w:t>
      </w:r>
      <w:r>
        <w:rPr>
          <w:rFonts w:ascii="Times New Roman" w:hAnsi="Times New Roman"/>
          <w:sz w:val="24"/>
        </w:rPr>
        <w:t xml:space="preserve"> Страните се задължават да не предоставят получената информация на трети лица, без писменото съгласие на другата страна.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11</w:t>
      </w:r>
      <w:r>
        <w:rPr>
          <w:rFonts w:ascii="Times New Roman" w:hAnsi="Times New Roman"/>
          <w:sz w:val="24"/>
        </w:rPr>
        <w:t>. Страните се задължават взаимно да си предоставят утвърдените национални статистически класификации, номенклатури, стандарти и методологии.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12.</w:t>
      </w:r>
      <w:r>
        <w:rPr>
          <w:rFonts w:ascii="Times New Roman" w:hAnsi="Times New Roman"/>
          <w:sz w:val="24"/>
        </w:rPr>
        <w:t xml:space="preserve"> Страните си обменят информацията по електронна поща, на технически и/или хартиен носител или по друг предварително договорен начин,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13. (1)</w:t>
      </w:r>
      <w:r>
        <w:rPr>
          <w:rFonts w:ascii="Times New Roman" w:hAnsi="Times New Roman"/>
          <w:sz w:val="24"/>
        </w:rPr>
        <w:t xml:space="preserve"> В отделни случаи може да се предоставя и обобщена „предварителна“ информация в срокове, по-кратки от тези, необходими за производството и предоставянето на окончателна статистическа информация. 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(2)</w:t>
      </w:r>
      <w:r>
        <w:rPr>
          <w:rFonts w:ascii="Times New Roman" w:hAnsi="Times New Roman"/>
          <w:sz w:val="24"/>
        </w:rPr>
        <w:t xml:space="preserve"> Предварителна е информацията, която е разработена на междинен етап в процеса на обработка и производство на данните. Производителят на информацията не носи отговорност за различията между предварителните и окончателните данни.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14.</w:t>
      </w:r>
      <w:r>
        <w:rPr>
          <w:rFonts w:ascii="Times New Roman" w:hAnsi="Times New Roman"/>
          <w:sz w:val="24"/>
        </w:rPr>
        <w:t xml:space="preserve"> Институцията, отговорна за производството на съответната статистическа информация, има право да ревизира и променя вече обявените за „окончателни“ данни, като своевременно информира другата страна за направените ревизии. </w:t>
      </w: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15</w:t>
      </w:r>
      <w:r>
        <w:rPr>
          <w:rFonts w:ascii="Times New Roman" w:hAnsi="Times New Roman"/>
          <w:sz w:val="24"/>
        </w:rPr>
        <w:t xml:space="preserve">. Страните по договора осигуряват </w:t>
      </w:r>
      <w:proofErr w:type="spellStart"/>
      <w:r>
        <w:rPr>
          <w:rFonts w:ascii="Times New Roman" w:hAnsi="Times New Roman"/>
          <w:sz w:val="24"/>
        </w:rPr>
        <w:t>методологически</w:t>
      </w:r>
      <w:proofErr w:type="spellEnd"/>
      <w:r>
        <w:rPr>
          <w:rFonts w:ascii="Times New Roman" w:hAnsi="Times New Roman"/>
          <w:sz w:val="24"/>
        </w:rPr>
        <w:t xml:space="preserve"> пояснения, необходими за коректното тълкуване на данните и взаимно се информират при промяна в прилаганите  методологии.</w:t>
      </w: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16.</w:t>
      </w:r>
      <w:r>
        <w:rPr>
          <w:rFonts w:ascii="Times New Roman" w:hAnsi="Times New Roman"/>
          <w:sz w:val="24"/>
        </w:rPr>
        <w:t xml:space="preserve"> Производителят на информацията не носи отговорност за невярното/некоректното  тълкуване на данните от страна на получателя и има право да изисква промяна на неправилното тълкуване след предоставяне на информацията и прилаганата методология.</w:t>
      </w: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 xml:space="preserve">IV. </w:t>
      </w:r>
      <w:r>
        <w:rPr>
          <w:rFonts w:ascii="Times New Roman" w:hAnsi="Times New Roman"/>
          <w:b/>
          <w:sz w:val="24"/>
        </w:rPr>
        <w:t>ВЗАИМООТНОШЕНИЯ С МЕЖДУНАРОДНИ ОРГАНИЗАЦИИ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17</w:t>
      </w:r>
      <w:r>
        <w:rPr>
          <w:rFonts w:ascii="Times New Roman" w:hAnsi="Times New Roman"/>
          <w:sz w:val="24"/>
        </w:rPr>
        <w:t>. Страните по споразумението осъществяват взаимен обмен на данни, предназначени за информационно обслужване и попълване на въпросници на меж</w:t>
      </w:r>
      <w:r w:rsidR="00AE0716">
        <w:rPr>
          <w:rFonts w:ascii="Times New Roman" w:hAnsi="Times New Roman"/>
          <w:sz w:val="24"/>
        </w:rPr>
        <w:t>дународни организации и</w:t>
      </w:r>
      <w:r>
        <w:rPr>
          <w:rFonts w:ascii="Times New Roman" w:hAnsi="Times New Roman"/>
          <w:sz w:val="24"/>
        </w:rPr>
        <w:t xml:space="preserve"> институции</w:t>
      </w:r>
      <w:r w:rsidR="00AE0716">
        <w:rPr>
          <w:rFonts w:ascii="Times New Roman" w:hAnsi="Times New Roman"/>
          <w:sz w:val="24"/>
        </w:rPr>
        <w:t xml:space="preserve"> (</w:t>
      </w:r>
      <w:r w:rsidR="00D27AE4">
        <w:rPr>
          <w:rFonts w:ascii="Times New Roman" w:hAnsi="Times New Roman"/>
          <w:sz w:val="24"/>
        </w:rPr>
        <w:t>Образец</w:t>
      </w:r>
      <w:r w:rsidR="00AE0716">
        <w:rPr>
          <w:rFonts w:ascii="Times New Roman" w:hAnsi="Times New Roman"/>
          <w:sz w:val="24"/>
        </w:rPr>
        <w:t xml:space="preserve"> № 3)</w:t>
      </w:r>
      <w:r>
        <w:rPr>
          <w:rFonts w:ascii="Times New Roman" w:hAnsi="Times New Roman"/>
          <w:sz w:val="24"/>
        </w:rPr>
        <w:t>, които по силата на поети ангажименти на Република България изискват периодично или еднократно предоставя</w:t>
      </w:r>
      <w:r w:rsidR="00AE0716">
        <w:rPr>
          <w:rFonts w:ascii="Times New Roman" w:hAnsi="Times New Roman"/>
          <w:sz w:val="24"/>
        </w:rPr>
        <w:t>не на информация (</w:t>
      </w:r>
      <w:r w:rsidR="00FE7E38">
        <w:rPr>
          <w:rFonts w:ascii="Times New Roman" w:hAnsi="Times New Roman"/>
          <w:sz w:val="24"/>
        </w:rPr>
        <w:t>Образец</w:t>
      </w:r>
      <w:r w:rsidR="00AE0716">
        <w:rPr>
          <w:rFonts w:ascii="Times New Roman" w:hAnsi="Times New Roman"/>
          <w:sz w:val="24"/>
        </w:rPr>
        <w:t xml:space="preserve"> № 4</w:t>
      </w:r>
      <w:r>
        <w:rPr>
          <w:rFonts w:ascii="Times New Roman" w:hAnsi="Times New Roman"/>
          <w:sz w:val="24"/>
        </w:rPr>
        <w:t xml:space="preserve"> — списък на лица </w:t>
      </w:r>
      <w:bookmarkStart w:id="0" w:name="_GoBack"/>
      <w:bookmarkEnd w:id="0"/>
      <w:r>
        <w:rPr>
          <w:rFonts w:ascii="Times New Roman" w:hAnsi="Times New Roman"/>
          <w:sz w:val="24"/>
        </w:rPr>
        <w:t>за контакт за всяка институция).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18.</w:t>
      </w:r>
      <w:r>
        <w:rPr>
          <w:rFonts w:ascii="Times New Roman" w:hAnsi="Times New Roman"/>
          <w:sz w:val="24"/>
        </w:rPr>
        <w:t xml:space="preserve"> Страните осъществяват взаимен обмен на метаданни и методологии за провежданите статистически изследвания, изисквани от международните статистически организации и институции.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19.</w:t>
      </w:r>
      <w:r>
        <w:rPr>
          <w:rFonts w:ascii="Times New Roman" w:hAnsi="Times New Roman"/>
          <w:sz w:val="24"/>
        </w:rPr>
        <w:t xml:space="preserve"> Страните осъществяват сътрудничество във връзка с Проектите на Евростат по хармонизиране на методологията и предоставяне на статистическа информация съгласно компетенциите си.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16"/>
        </w:rPr>
      </w:pP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Чл. 20. (1)</w:t>
      </w:r>
      <w:r>
        <w:rPr>
          <w:rFonts w:ascii="Times New Roman" w:hAnsi="Times New Roman"/>
          <w:sz w:val="24"/>
        </w:rPr>
        <w:t xml:space="preserve"> При необходимост от формулиране на обща за Република България позиция, страните предварително съгласуват становища по дискутираните въпроси преди участие в заседанията на работните групи на Европейската комисия и Евростат, както и при участие в работни срещи и семинари на други международни организации.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(2)</w:t>
      </w:r>
      <w:r>
        <w:rPr>
          <w:rFonts w:ascii="Times New Roman" w:hAnsi="Times New Roman"/>
          <w:sz w:val="24"/>
        </w:rPr>
        <w:t xml:space="preserve"> Страните предварително съгласуват становища по предоставяне на статистически данни извън обхвата на регулярно предоставяните в изпълнение на регламенти.</w:t>
      </w: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 xml:space="preserve">V. </w:t>
      </w:r>
      <w:r>
        <w:rPr>
          <w:rFonts w:ascii="Times New Roman" w:hAnsi="Times New Roman"/>
          <w:b/>
          <w:sz w:val="24"/>
        </w:rPr>
        <w:t>СРОК НА ДЕЙСТВИЕ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Чл. 21. </w:t>
      </w:r>
      <w:r>
        <w:rPr>
          <w:rFonts w:ascii="Times New Roman" w:hAnsi="Times New Roman"/>
          <w:sz w:val="24"/>
        </w:rPr>
        <w:t>Настоящето споразумение за сътрудничество се сключва за срок от ……………………….  година/и.</w:t>
      </w: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VI. ИЗМЕНЕНИЯ И ДОПЪЛНЕНИЯ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Чл. 22. </w:t>
      </w:r>
      <w:r>
        <w:rPr>
          <w:rFonts w:ascii="Times New Roman" w:hAnsi="Times New Roman"/>
          <w:sz w:val="24"/>
        </w:rPr>
        <w:t>По инициатива на всяка от договарящите се институции и след съгласуване между тях, клаузите по споразумението могат да бъдат изменяни и допълвани чрез анекси.</w:t>
      </w:r>
    </w:p>
    <w:p w:rsidR="00293E04" w:rsidRDefault="00293E04" w:rsidP="00293E04">
      <w:pPr>
        <w:spacing w:after="160" w:line="256" w:lineRule="auto"/>
        <w:rPr>
          <w:rFonts w:ascii="Times New Roman" w:hAnsi="Times New Roman"/>
          <w:sz w:val="24"/>
          <w:lang w:val="en-US"/>
        </w:rPr>
      </w:pPr>
    </w:p>
    <w:p w:rsidR="00293E04" w:rsidRDefault="00293E04" w:rsidP="00293E04">
      <w:pPr>
        <w:spacing w:after="160" w:line="256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VII. ДОПЪЛНИТЕЛНИ УСЛОВИЯ</w:t>
      </w:r>
    </w:p>
    <w:p w:rsidR="00293E04" w:rsidRDefault="00293E04" w:rsidP="00293E04">
      <w:pPr>
        <w:spacing w:after="160" w:line="25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Чл. 23. </w:t>
      </w:r>
      <w:r>
        <w:rPr>
          <w:rFonts w:ascii="Times New Roman" w:hAnsi="Times New Roman"/>
          <w:sz w:val="24"/>
        </w:rPr>
        <w:t>За координатори по изпълнение на споразумението се определят, както следва: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</w:rPr>
        <w:t>За НСИ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4"/>
        </w:rPr>
        <w:t>……………………………………………………………………….</w:t>
      </w:r>
      <w:r>
        <w:rPr>
          <w:rFonts w:ascii="Times New Roman" w:hAnsi="Times New Roman"/>
          <w:sz w:val="24"/>
        </w:rPr>
        <w:br/>
        <w:t>отдел „Връзки с потребителите и е-услуги“,</w:t>
      </w:r>
      <w:r>
        <w:rPr>
          <w:rFonts w:ascii="Times New Roman" w:hAnsi="Times New Roman"/>
          <w:sz w:val="24"/>
        </w:rPr>
        <w:br/>
        <w:t xml:space="preserve">тел. ……………………., </w:t>
      </w:r>
      <w:proofErr w:type="gramStart"/>
      <w:r>
        <w:rPr>
          <w:rFonts w:ascii="Times New Roman" w:hAnsi="Times New Roman"/>
          <w:sz w:val="24"/>
          <w:lang w:val="en-US"/>
        </w:rPr>
        <w:t>e-mail</w:t>
      </w:r>
      <w:proofErr w:type="gramEnd"/>
      <w:r>
        <w:rPr>
          <w:rFonts w:ascii="Times New Roman" w:hAnsi="Times New Roman"/>
          <w:sz w:val="24"/>
          <w:lang w:val="en-US"/>
        </w:rPr>
        <w:t>: ………………………………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en-US"/>
        </w:rPr>
        <w:t>..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sz w:val="24"/>
          <w:lang w:val="en-US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 ………………………………………..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4"/>
        </w:rPr>
        <w:t>…………………………………………………………………….…</w:t>
      </w:r>
      <w:r>
        <w:rPr>
          <w:rFonts w:ascii="Times New Roman" w:hAnsi="Times New Roman"/>
          <w:sz w:val="24"/>
        </w:rPr>
        <w:br/>
        <w:t>……………………………………………………………………….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Споразумението се изготви в два еднообразни екземпляра, по един за всяка от страните. 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НСИ: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За ……………………..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………………………………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………………………….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/Председател на НСИ/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/…………………………./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            </w:t>
      </w:r>
      <w:r>
        <w:rPr>
          <w:rFonts w:ascii="Times New Roman" w:hAnsi="Times New Roman"/>
          <w:b/>
          <w:sz w:val="24"/>
        </w:rPr>
        <w:tab/>
        <w:t xml:space="preserve">                           </w:t>
      </w: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360" w:lineRule="auto"/>
        <w:rPr>
          <w:rFonts w:ascii="Times New Roman" w:hAnsi="Times New Roman"/>
          <w:b/>
          <w:sz w:val="24"/>
        </w:rPr>
      </w:pPr>
    </w:p>
    <w:p w:rsidR="00293E04" w:rsidRDefault="00293E04" w:rsidP="00293E04">
      <w:pPr>
        <w:spacing w:after="160" w:line="256" w:lineRule="auto"/>
        <w:rPr>
          <w:sz w:val="24"/>
        </w:rPr>
      </w:pPr>
    </w:p>
    <w:p w:rsidR="00293E04" w:rsidRDefault="00293E04" w:rsidP="00293E04">
      <w:pPr>
        <w:tabs>
          <w:tab w:val="left" w:pos="5655"/>
        </w:tabs>
        <w:spacing w:after="29"/>
        <w:ind w:right="-2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</w:p>
    <w:p w:rsidR="00D83F28" w:rsidRPr="00293E04" w:rsidRDefault="00D83F28" w:rsidP="00293E04"/>
    <w:sectPr w:rsidR="00D83F28" w:rsidRPr="00293E04" w:rsidSect="006A4C8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7C" w:rsidRDefault="00CD717C" w:rsidP="00D83F28">
      <w:pPr>
        <w:spacing w:after="0" w:line="240" w:lineRule="auto"/>
      </w:pPr>
      <w:r>
        <w:separator/>
      </w:r>
    </w:p>
  </w:endnote>
  <w:endnote w:type="continuationSeparator" w:id="0">
    <w:p w:rsidR="00CD717C" w:rsidRDefault="00CD717C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8E6CB5">
    <w:pPr>
      <w:pStyle w:val="BodyText"/>
      <w:tabs>
        <w:tab w:val="left" w:pos="3375"/>
      </w:tabs>
      <w:spacing w:before="196"/>
      <w:jc w:val="center"/>
    </w:pP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CA8F8D" wp14:editId="67F1E777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8057E" id="Graphic 8" o:spid="_x0000_s1026" style="position:absolute;margin-left:0;margin-top:8.8pt;width:477.7pt;height:.1pt;z-index:-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A7142A">
      <w:rPr>
        <w:rFonts w:ascii="Verdana" w:hAnsi="Verdana"/>
        <w:color w:val="31312F"/>
        <w:sz w:val="16"/>
        <w:szCs w:val="16"/>
      </w:rPr>
      <w:t>София</w:t>
    </w:r>
    <w:r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1038,</w:t>
    </w:r>
    <w:r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Б</w:t>
    </w:r>
    <w:r w:rsidRPr="00A7142A">
      <w:rPr>
        <w:rFonts w:ascii="Verdana" w:hAnsi="Verdana"/>
        <w:color w:val="4F4F4D"/>
        <w:sz w:val="16"/>
        <w:szCs w:val="16"/>
      </w:rPr>
      <w:t>ъл</w:t>
    </w:r>
    <w:r w:rsidRPr="00A7142A">
      <w:rPr>
        <w:rFonts w:ascii="Verdana" w:hAnsi="Verdana"/>
        <w:color w:val="31312F"/>
        <w:sz w:val="16"/>
        <w:szCs w:val="16"/>
      </w:rPr>
      <w:t>гария,</w:t>
    </w:r>
    <w:r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 w:rsidR="00F76D42">
      <w:rPr>
        <w:rFonts w:ascii="Verdana" w:hAnsi="Verdana"/>
        <w:color w:val="31312F"/>
        <w:sz w:val="16"/>
        <w:szCs w:val="16"/>
      </w:rPr>
      <w:t>ул. „</w:t>
    </w:r>
    <w:r w:rsidRPr="00A7142A">
      <w:rPr>
        <w:rFonts w:ascii="Verdana" w:hAnsi="Verdana"/>
        <w:color w:val="31312F"/>
        <w:sz w:val="16"/>
        <w:szCs w:val="16"/>
      </w:rPr>
      <w:t>П</w:t>
    </w:r>
    <w:r w:rsidRPr="00A7142A">
      <w:rPr>
        <w:rFonts w:ascii="Verdana" w:hAnsi="Verdana"/>
        <w:color w:val="4F4F4D"/>
        <w:sz w:val="16"/>
        <w:szCs w:val="16"/>
      </w:rPr>
      <w:t>.</w:t>
    </w:r>
    <w:r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Волов“</w:t>
    </w:r>
    <w:r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№</w:t>
    </w:r>
    <w:r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2,</w:t>
    </w:r>
    <w:r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тел.</w:t>
    </w:r>
    <w:r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10"/>
        <w:sz w:val="16"/>
        <w:szCs w:val="16"/>
        <w:lang w:val="en-US"/>
      </w:rPr>
      <w:t>(</w:t>
    </w:r>
    <w:r w:rsidRPr="00A7142A">
      <w:rPr>
        <w:rFonts w:ascii="Verdana" w:hAnsi="Verdana"/>
        <w:color w:val="31312F"/>
        <w:sz w:val="16"/>
        <w:szCs w:val="16"/>
      </w:rPr>
      <w:t>02</w:t>
    </w:r>
    <w:r w:rsidRPr="00A7142A">
      <w:rPr>
        <w:rFonts w:ascii="Verdana" w:hAnsi="Verdana"/>
        <w:color w:val="4F4F4D"/>
        <w:sz w:val="16"/>
        <w:szCs w:val="16"/>
        <w:lang w:val="en-US"/>
      </w:rPr>
      <w:t>)</w:t>
    </w:r>
    <w:r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9857</w:t>
    </w:r>
    <w:r w:rsidRPr="00A7142A">
      <w:rPr>
        <w:rFonts w:ascii="Verdana" w:hAnsi="Verdana"/>
        <w:color w:val="31312F"/>
        <w:sz w:val="16"/>
        <w:szCs w:val="16"/>
        <w:lang w:val="en-US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111,</w:t>
    </w:r>
    <w:r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e</w:t>
    </w:r>
    <w:r w:rsidRPr="00A7142A">
      <w:rPr>
        <w:rFonts w:ascii="Verdana" w:hAnsi="Verdana"/>
        <w:color w:val="676766"/>
        <w:sz w:val="16"/>
        <w:szCs w:val="16"/>
      </w:rPr>
      <w:t>-</w:t>
    </w:r>
    <w:proofErr w:type="spellStart"/>
    <w:r w:rsidRPr="00A7142A">
      <w:rPr>
        <w:rFonts w:ascii="Verdana" w:hAnsi="Verdana"/>
        <w:color w:val="31312F"/>
        <w:sz w:val="16"/>
        <w:szCs w:val="16"/>
      </w:rPr>
      <w:t>mail</w:t>
    </w:r>
    <w:proofErr w:type="spellEnd"/>
    <w:r w:rsidRPr="00A7142A">
      <w:rPr>
        <w:rFonts w:ascii="Verdana" w:hAnsi="Verdana"/>
        <w:color w:val="31312F"/>
        <w:sz w:val="16"/>
        <w:szCs w:val="16"/>
      </w:rPr>
      <w:t>:</w:t>
    </w:r>
    <w:r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7C" w:rsidRDefault="00CD717C" w:rsidP="00D83F28">
      <w:pPr>
        <w:spacing w:after="0" w:line="240" w:lineRule="auto"/>
      </w:pPr>
      <w:r>
        <w:separator/>
      </w:r>
    </w:p>
  </w:footnote>
  <w:footnote w:type="continuationSeparator" w:id="0">
    <w:p w:rsidR="00CD717C" w:rsidRDefault="00CD717C" w:rsidP="00D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F76D42" w:rsidRDefault="00D83F28" w:rsidP="00D83F28">
    <w:pPr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173D8A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76672" behindDoc="0" locked="0" layoutInCell="1" allowOverlap="1" wp14:anchorId="27CFEA73" wp14:editId="6E621810">
          <wp:simplePos x="0" y="0"/>
          <wp:positionH relativeFrom="margin">
            <wp:posOffset>4939665</wp:posOffset>
          </wp:positionH>
          <wp:positionV relativeFrom="topMargin">
            <wp:posOffset>552450</wp:posOffset>
          </wp:positionV>
          <wp:extent cx="772795" cy="581025"/>
          <wp:effectExtent l="0" t="0" r="825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D42"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903E57" wp14:editId="7AB44C25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D83F28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D83F28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9uIQIAAB0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" stroked="f">
              <v:textbox>
                <w:txbxContent>
                  <w:p w:rsidR="00D83F28" w:rsidRDefault="00D83F28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DA1EA6" wp14:editId="57D6C635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ACA6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="00F76D42"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6EAFD537" wp14:editId="6A939F8E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5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170D19"/>
    <w:rsid w:val="00173D8A"/>
    <w:rsid w:val="0021299E"/>
    <w:rsid w:val="00266E6D"/>
    <w:rsid w:val="00293E04"/>
    <w:rsid w:val="003723F3"/>
    <w:rsid w:val="003E4AE1"/>
    <w:rsid w:val="003E75E1"/>
    <w:rsid w:val="004A4952"/>
    <w:rsid w:val="005044B9"/>
    <w:rsid w:val="00631FA1"/>
    <w:rsid w:val="00643044"/>
    <w:rsid w:val="006A4C8F"/>
    <w:rsid w:val="008E6CB5"/>
    <w:rsid w:val="009757F5"/>
    <w:rsid w:val="009A710B"/>
    <w:rsid w:val="00AE0716"/>
    <w:rsid w:val="00B8573A"/>
    <w:rsid w:val="00CD717C"/>
    <w:rsid w:val="00D27AE4"/>
    <w:rsid w:val="00D60CD2"/>
    <w:rsid w:val="00D83F28"/>
    <w:rsid w:val="00EF4FC0"/>
    <w:rsid w:val="00F33C96"/>
    <w:rsid w:val="00F76D42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4FD4D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6292-70C9-477E-84D5-2EE97957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Angel Todorov</cp:lastModifiedBy>
  <cp:revision>19</cp:revision>
  <dcterms:created xsi:type="dcterms:W3CDTF">2024-12-23T09:14:00Z</dcterms:created>
  <dcterms:modified xsi:type="dcterms:W3CDTF">2025-12-17T13:30:00Z</dcterms:modified>
</cp:coreProperties>
</file>