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04" w:rsidRPr="00F32A04" w:rsidRDefault="00F32A04" w:rsidP="00F32A04">
      <w:pPr>
        <w:shd w:val="clear" w:color="auto" w:fill="FFFFFF"/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val="en-GB" w:eastAsia="bg-BG"/>
        </w:rPr>
      </w:pPr>
      <w:bookmarkStart w:id="0" w:name="_GoBack"/>
      <w:bookmarkEnd w:id="0"/>
      <w:r w:rsidRPr="00F32A04">
        <w:rPr>
          <w:rFonts w:ascii="Verdana" w:eastAsia="Times New Roman" w:hAnsi="Verdana" w:cs="Times New Roman"/>
          <w:b/>
          <w:bCs/>
          <w:kern w:val="36"/>
          <w:sz w:val="20"/>
          <w:szCs w:val="20"/>
          <w:lang w:val="en-GB" w:eastAsia="bg-BG"/>
        </w:rPr>
        <w:t>Actual individual consumption per capita in 2023</w:t>
      </w:r>
    </w:p>
    <w:p w:rsidR="002C293F" w:rsidRDefault="00F32A04" w:rsidP="00F32A04">
      <w:pPr>
        <w:shd w:val="clear" w:color="auto" w:fill="FFFFFF"/>
        <w:spacing w:before="160" w:after="160" w:line="360" w:lineRule="auto"/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</w:pPr>
      <w:r w:rsidRPr="00F32A04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>In 2023, </w:t>
      </w:r>
      <w:hyperlink r:id="rId8" w:history="1">
        <w:r w:rsidRPr="00F32A04">
          <w:rPr>
            <w:rFonts w:ascii="Verdana" w:eastAsia="Times New Roman" w:hAnsi="Verdana" w:cs="Arial"/>
            <w:color w:val="0E47CB"/>
            <w:sz w:val="20"/>
            <w:szCs w:val="20"/>
            <w:u w:val="single"/>
            <w:lang w:val="en-GB" w:eastAsia="bg-BG"/>
          </w:rPr>
          <w:t>actual individual consumption</w:t>
        </w:r>
      </w:hyperlink>
      <w:r w:rsidRPr="00F32A04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> (AIC) per capita expressed in </w:t>
      </w:r>
      <w:hyperlink r:id="rId9" w:history="1">
        <w:r w:rsidRPr="00F32A04">
          <w:rPr>
            <w:rFonts w:ascii="Verdana" w:eastAsia="Times New Roman" w:hAnsi="Verdana" w:cs="Arial"/>
            <w:color w:val="0E47CB"/>
            <w:sz w:val="20"/>
            <w:szCs w:val="20"/>
            <w:u w:val="single"/>
            <w:lang w:val="en-GB" w:eastAsia="bg-BG"/>
          </w:rPr>
          <w:t>purchasing power standards</w:t>
        </w:r>
      </w:hyperlink>
      <w:r w:rsidRPr="00F32A04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> (PPS) varied from 70% to 138% of the EU average across the 27 EU countries.</w:t>
      </w:r>
      <w:r w:rsidR="002C293F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 xml:space="preserve"> </w:t>
      </w:r>
      <w:r w:rsidR="002C293F" w:rsidRPr="002C293F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 xml:space="preserve">For Bulgaria, the level is 27% below the EU average, according to the </w:t>
      </w:r>
      <w:proofErr w:type="spellStart"/>
      <w:r w:rsidR="002C293F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>nowcast</w:t>
      </w:r>
      <w:proofErr w:type="spellEnd"/>
      <w:r w:rsidR="002C293F" w:rsidRPr="002C293F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 xml:space="preserve"> estimates </w:t>
      </w:r>
      <w:proofErr w:type="gramStart"/>
      <w:r w:rsidR="002C293F" w:rsidRPr="002C293F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>for</w:t>
      </w:r>
      <w:proofErr w:type="gramEnd"/>
      <w:r w:rsidR="002C293F" w:rsidRPr="002C293F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 xml:space="preserve"> 2023.</w:t>
      </w:r>
    </w:p>
    <w:p w:rsidR="00F32A04" w:rsidRPr="00F32A04" w:rsidRDefault="00F32A04" w:rsidP="00F32A04">
      <w:pPr>
        <w:shd w:val="clear" w:color="auto" w:fill="FFFFFF"/>
        <w:spacing w:before="160" w:after="160" w:line="360" w:lineRule="auto"/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</w:pPr>
      <w:r w:rsidRPr="00F32A04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 xml:space="preserve">AIC includes all goods and services that households use, irrespective of whether they were purchased and paid for by households directly, by government, or by </w:t>
      </w:r>
      <w:proofErr w:type="spellStart"/>
      <w:r w:rsidRPr="00F32A04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>nonprofit</w:t>
      </w:r>
      <w:proofErr w:type="spellEnd"/>
      <w:r w:rsidRPr="00F32A04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 xml:space="preserve"> organizations. It can be considered as an indicator of the material welfare of households.</w:t>
      </w:r>
    </w:p>
    <w:p w:rsidR="00FD731D" w:rsidRPr="00F32A04" w:rsidRDefault="00F32A04" w:rsidP="00F32A04">
      <w:pPr>
        <w:shd w:val="clear" w:color="auto" w:fill="FFFFFF"/>
        <w:spacing w:before="160" w:after="160" w:line="360" w:lineRule="auto"/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</w:pPr>
      <w:r w:rsidRPr="00F32A04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>This information comes from recently published </w:t>
      </w:r>
      <w:hyperlink r:id="rId10" w:history="1">
        <w:r w:rsidRPr="00F32A04">
          <w:rPr>
            <w:rFonts w:ascii="Verdana" w:eastAsia="Times New Roman" w:hAnsi="Verdana" w:cs="Arial"/>
            <w:color w:val="0E47CB"/>
            <w:sz w:val="20"/>
            <w:szCs w:val="20"/>
            <w:u w:val="single"/>
            <w:lang w:val="en-GB" w:eastAsia="bg-BG"/>
          </w:rPr>
          <w:t>data on purchasing power parities</w:t>
        </w:r>
      </w:hyperlink>
      <w:r w:rsidRPr="00F32A04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> (PPP). This article presents some of the findings from the more detailed account in the Statistics Explained article.</w:t>
      </w:r>
    </w:p>
    <w:p w:rsidR="00F32A04" w:rsidRDefault="00F32A04" w:rsidP="00F32A04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28C2A11B" wp14:editId="4DAB505D">
            <wp:extent cx="5295900" cy="2978944"/>
            <wp:effectExtent l="0" t="0" r="0" b="0"/>
            <wp:docPr id="2" name="Picture 2" descr="Actual individual consumption per capita, in purchasing power standards. Map. See link to full dataset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ual individual consumption per capita, in purchasing power standards. Map. See link to full dataset below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327" cy="298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A04" w:rsidRPr="00F32A04" w:rsidRDefault="00F32A04" w:rsidP="00F32A04">
      <w:pPr>
        <w:shd w:val="clear" w:color="auto" w:fill="FFFFFF"/>
        <w:spacing w:before="160" w:after="160" w:line="360" w:lineRule="auto"/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</w:pPr>
      <w:r w:rsidRPr="00F32A04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>In 2023, 10 EU countries recorded AIC per capita above the EU average. The highest levels were recorded in Luxembourg (38% above the EU average), Austria and the Netherlands (both 17%). </w:t>
      </w:r>
    </w:p>
    <w:p w:rsidR="00F32A04" w:rsidRPr="00F32A04" w:rsidRDefault="00F32A04" w:rsidP="00F32A04">
      <w:pPr>
        <w:shd w:val="clear" w:color="auto" w:fill="FFFFFF"/>
        <w:spacing w:before="160" w:after="160" w:line="360" w:lineRule="auto"/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</w:pPr>
      <w:r w:rsidRPr="00F32A04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>Meanwhile, 17 EU countries recorded AIC per capita below the EU average, with the lowest levels recorded in Hungary (30% below the EU average), Bulgaria (27%), Slovakia and Latvia (both 25%).</w:t>
      </w:r>
    </w:p>
    <w:p w:rsidR="00F32A04" w:rsidRPr="00F32A04" w:rsidRDefault="00F32A04" w:rsidP="00F32A04">
      <w:pPr>
        <w:shd w:val="clear" w:color="auto" w:fill="FFFFFF"/>
        <w:spacing w:before="160" w:after="160" w:line="360" w:lineRule="auto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val="en-GB" w:eastAsia="bg-BG"/>
        </w:rPr>
      </w:pPr>
      <w:r w:rsidRPr="00F32A04">
        <w:rPr>
          <w:rFonts w:ascii="Verdana" w:eastAsia="Times New Roman" w:hAnsi="Verdana" w:cs="Times New Roman"/>
          <w:b/>
          <w:bCs/>
          <w:sz w:val="20"/>
          <w:szCs w:val="20"/>
          <w:lang w:val="en-GB" w:eastAsia="bg-BG"/>
        </w:rPr>
        <w:t>Luxembourg and Ireland record the highest GDP per capita</w:t>
      </w:r>
    </w:p>
    <w:p w:rsidR="00F32A04" w:rsidRPr="00F32A04" w:rsidRDefault="00156949" w:rsidP="00F32A04">
      <w:pPr>
        <w:shd w:val="clear" w:color="auto" w:fill="FFFFFF"/>
        <w:spacing w:before="160" w:after="160" w:line="360" w:lineRule="auto"/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</w:pPr>
      <w:proofErr w:type="spellStart"/>
      <w:r w:rsidRPr="00607F6A">
        <w:rPr>
          <w:rFonts w:ascii="Verdana" w:hAnsi="Verdana"/>
          <w:sz w:val="20"/>
          <w:szCs w:val="20"/>
        </w:rPr>
        <w:lastRenderedPageBreak/>
        <w:t>In</w:t>
      </w:r>
      <w:proofErr w:type="spellEnd"/>
      <w:r w:rsidRPr="00607F6A">
        <w:rPr>
          <w:rFonts w:ascii="Verdana" w:hAnsi="Verdana"/>
          <w:sz w:val="20"/>
          <w:szCs w:val="20"/>
        </w:rPr>
        <w:t xml:space="preserve"> 2023, GDP </w:t>
      </w:r>
      <w:proofErr w:type="spellStart"/>
      <w:r w:rsidRPr="00607F6A">
        <w:rPr>
          <w:rFonts w:ascii="Verdana" w:hAnsi="Verdana"/>
          <w:sz w:val="20"/>
          <w:szCs w:val="20"/>
        </w:rPr>
        <w:t>per</w:t>
      </w:r>
      <w:proofErr w:type="spellEnd"/>
      <w:r w:rsidRPr="00607F6A">
        <w:rPr>
          <w:rFonts w:ascii="Verdana" w:hAnsi="Verdana"/>
          <w:sz w:val="20"/>
          <w:szCs w:val="20"/>
        </w:rPr>
        <w:t xml:space="preserve"> </w:t>
      </w:r>
      <w:proofErr w:type="spellStart"/>
      <w:r w:rsidRPr="00607F6A">
        <w:rPr>
          <w:rFonts w:ascii="Verdana" w:hAnsi="Verdana"/>
          <w:sz w:val="20"/>
          <w:szCs w:val="20"/>
        </w:rPr>
        <w:t>capita</w:t>
      </w:r>
      <w:proofErr w:type="spellEnd"/>
      <w:r w:rsidRPr="00607F6A">
        <w:rPr>
          <w:rFonts w:ascii="Verdana" w:hAnsi="Verdana"/>
          <w:sz w:val="20"/>
          <w:szCs w:val="20"/>
        </w:rPr>
        <w:t xml:space="preserve"> </w:t>
      </w:r>
      <w:proofErr w:type="spellStart"/>
      <w:r w:rsidRPr="00607F6A">
        <w:rPr>
          <w:rFonts w:ascii="Verdana" w:hAnsi="Verdana"/>
          <w:sz w:val="20"/>
          <w:szCs w:val="20"/>
        </w:rPr>
        <w:t>in</w:t>
      </w:r>
      <w:proofErr w:type="spellEnd"/>
      <w:r w:rsidRPr="00607F6A">
        <w:rPr>
          <w:rFonts w:ascii="Verdana" w:hAnsi="Verdana"/>
          <w:sz w:val="20"/>
          <w:szCs w:val="20"/>
        </w:rPr>
        <w:t xml:space="preserve"> Bulgaria </w:t>
      </w:r>
      <w:proofErr w:type="spellStart"/>
      <w:r w:rsidRPr="00607F6A">
        <w:rPr>
          <w:rFonts w:ascii="Verdana" w:hAnsi="Verdana"/>
          <w:sz w:val="20"/>
          <w:szCs w:val="20"/>
        </w:rPr>
        <w:t>is</w:t>
      </w:r>
      <w:proofErr w:type="spellEnd"/>
      <w:r w:rsidRPr="00607F6A">
        <w:rPr>
          <w:rFonts w:ascii="Verdana" w:hAnsi="Verdana"/>
          <w:sz w:val="20"/>
          <w:szCs w:val="20"/>
        </w:rPr>
        <w:t xml:space="preserve"> 36% </w:t>
      </w:r>
      <w:proofErr w:type="spellStart"/>
      <w:r w:rsidRPr="00607F6A">
        <w:rPr>
          <w:rFonts w:ascii="Verdana" w:hAnsi="Verdana"/>
          <w:sz w:val="20"/>
          <w:szCs w:val="20"/>
        </w:rPr>
        <w:t>below</w:t>
      </w:r>
      <w:proofErr w:type="spellEnd"/>
      <w:r w:rsidRPr="00607F6A">
        <w:rPr>
          <w:rFonts w:ascii="Verdana" w:hAnsi="Verdana"/>
          <w:sz w:val="20"/>
          <w:szCs w:val="20"/>
        </w:rPr>
        <w:t xml:space="preserve"> </w:t>
      </w:r>
      <w:proofErr w:type="spellStart"/>
      <w:r w:rsidRPr="00607F6A">
        <w:rPr>
          <w:rFonts w:ascii="Verdana" w:hAnsi="Verdana"/>
          <w:sz w:val="20"/>
          <w:szCs w:val="20"/>
        </w:rPr>
        <w:t>the</w:t>
      </w:r>
      <w:proofErr w:type="spellEnd"/>
      <w:r w:rsidRPr="00607F6A">
        <w:rPr>
          <w:rFonts w:ascii="Verdana" w:hAnsi="Verdana"/>
          <w:sz w:val="20"/>
          <w:szCs w:val="20"/>
        </w:rPr>
        <w:t xml:space="preserve"> EU-27 </w:t>
      </w:r>
      <w:proofErr w:type="spellStart"/>
      <w:r w:rsidRPr="00607F6A">
        <w:rPr>
          <w:rFonts w:ascii="Verdana" w:hAnsi="Verdana"/>
          <w:sz w:val="20"/>
          <w:szCs w:val="20"/>
        </w:rPr>
        <w:t>average</w:t>
      </w:r>
      <w:proofErr w:type="spellEnd"/>
      <w:r w:rsidRPr="00607F6A">
        <w:rPr>
          <w:rFonts w:ascii="Verdana" w:hAnsi="Verdana"/>
          <w:sz w:val="20"/>
          <w:szCs w:val="20"/>
        </w:rPr>
        <w:t>.</w:t>
      </w:r>
      <w:r>
        <w:rPr>
          <w:lang w:val="en-US"/>
        </w:rPr>
        <w:t xml:space="preserve"> </w:t>
      </w:r>
      <w:hyperlink r:id="rId12" w:history="1">
        <w:r w:rsidR="00F32A04" w:rsidRPr="00F32A04">
          <w:rPr>
            <w:rFonts w:ascii="Verdana" w:eastAsia="Times New Roman" w:hAnsi="Verdana" w:cs="Arial"/>
            <w:color w:val="0E47CB"/>
            <w:sz w:val="20"/>
            <w:szCs w:val="20"/>
            <w:u w:val="single"/>
            <w:lang w:val="en-GB" w:eastAsia="bg-BG"/>
          </w:rPr>
          <w:t>Gross domestic product</w:t>
        </w:r>
      </w:hyperlink>
      <w:r w:rsidR="00F32A04" w:rsidRPr="00F32A04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> (GDP) per capita, a measure of economic activity, also showed substantial differences across the EU members.</w:t>
      </w:r>
    </w:p>
    <w:p w:rsidR="00F32A04" w:rsidRDefault="00F32A04" w:rsidP="00F32A04">
      <w:pPr>
        <w:shd w:val="clear" w:color="auto" w:fill="FFFFFF"/>
        <w:spacing w:before="160" w:after="160" w:line="360" w:lineRule="auto"/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</w:pPr>
      <w:r w:rsidRPr="00F32A04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>GDP per capita above the EU average was recorded in 11 EU countries. It was highest in Luxembourg (139% higher than the EU average), Ireland (111%) and the Netherlands (30%). At the other end of the range, the lowest GDP per capita was recorded in Bulgaria (36% below the EU average), Gr</w:t>
      </w:r>
      <w:r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 xml:space="preserve">eece (33%) and Latvia (29%). </w:t>
      </w:r>
    </w:p>
    <w:p w:rsidR="00F32A04" w:rsidRDefault="00F32A04" w:rsidP="00F32A04">
      <w:pPr>
        <w:shd w:val="clear" w:color="auto" w:fill="FFFFFF"/>
        <w:spacing w:before="160" w:after="160" w:line="360" w:lineRule="auto"/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</w:pPr>
      <w:r>
        <w:rPr>
          <w:noProof/>
          <w:lang w:eastAsia="bg-BG"/>
        </w:rPr>
        <w:drawing>
          <wp:inline distT="0" distB="0" distL="0" distR="0" wp14:anchorId="1BE3D2AC" wp14:editId="0E15C23D">
            <wp:extent cx="5760085" cy="3240048"/>
            <wp:effectExtent l="0" t="0" r="0" b="0"/>
            <wp:docPr id="3" name="Picture 3" descr="Volume indices of gross domestic prduct and actual individual consumption per capita, 2023, in purchasing power standards. Chart. See link to full dataset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lume indices of gross domestic prduct and actual individual consumption per capita, 2023, in purchasing power standards. Chart. See link to full dataset below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A04" w:rsidRPr="0063297B" w:rsidRDefault="00F32A04" w:rsidP="0063297B">
      <w:pPr>
        <w:spacing w:before="160" w:after="160"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F32A04">
        <w:rPr>
          <w:rFonts w:ascii="Arial" w:hAnsi="Arial" w:cs="Arial"/>
          <w:color w:val="515560"/>
          <w:sz w:val="22"/>
          <w:szCs w:val="22"/>
          <w:shd w:val="clear" w:color="auto" w:fill="FFFFFF"/>
        </w:rPr>
        <w:t>Source</w:t>
      </w:r>
      <w:proofErr w:type="spellEnd"/>
      <w:r w:rsidRPr="00F32A04">
        <w:rPr>
          <w:rFonts w:ascii="Arial" w:hAnsi="Arial" w:cs="Arial"/>
          <w:color w:val="515560"/>
          <w:sz w:val="22"/>
          <w:szCs w:val="22"/>
          <w:shd w:val="clear" w:color="auto" w:fill="FFFFFF"/>
        </w:rPr>
        <w:t xml:space="preserve"> </w:t>
      </w:r>
      <w:proofErr w:type="spellStart"/>
      <w:r w:rsidRPr="00F32A04">
        <w:rPr>
          <w:rFonts w:ascii="Arial" w:hAnsi="Arial" w:cs="Arial"/>
          <w:color w:val="515560"/>
          <w:sz w:val="22"/>
          <w:szCs w:val="22"/>
          <w:shd w:val="clear" w:color="auto" w:fill="FFFFFF"/>
        </w:rPr>
        <w:t>dataset</w:t>
      </w:r>
      <w:proofErr w:type="spellEnd"/>
      <w:r w:rsidRPr="00F32A04">
        <w:rPr>
          <w:rFonts w:ascii="Arial" w:hAnsi="Arial" w:cs="Arial"/>
          <w:color w:val="515560"/>
          <w:sz w:val="22"/>
          <w:szCs w:val="22"/>
          <w:shd w:val="clear" w:color="auto" w:fill="FFFFFF"/>
        </w:rPr>
        <w:t>: </w:t>
      </w:r>
      <w:proofErr w:type="spellStart"/>
      <w:r w:rsidRPr="00F32A04">
        <w:rPr>
          <w:rFonts w:asciiTheme="minorHAnsi" w:hAnsiTheme="minorHAnsi"/>
          <w:sz w:val="22"/>
          <w:szCs w:val="22"/>
        </w:rPr>
        <w:fldChar w:fldCharType="begin"/>
      </w:r>
      <w:r w:rsidRPr="00F32A04">
        <w:rPr>
          <w:rFonts w:asciiTheme="minorHAnsi" w:hAnsiTheme="minorHAnsi"/>
          <w:sz w:val="22"/>
          <w:szCs w:val="22"/>
        </w:rPr>
        <w:instrText xml:space="preserve"> HYPERLINK "https://ec.europa.eu/eurostat/databrowser/bookmark/d1cadb07-fbfa-43b6-820a-3a343891f153?lang=en" </w:instrText>
      </w:r>
      <w:r w:rsidRPr="00F32A04">
        <w:rPr>
          <w:rFonts w:asciiTheme="minorHAnsi" w:hAnsiTheme="minorHAnsi"/>
          <w:sz w:val="22"/>
          <w:szCs w:val="22"/>
        </w:rPr>
        <w:fldChar w:fldCharType="separate"/>
      </w:r>
      <w:r w:rsidRPr="00F32A04">
        <w:rPr>
          <w:rFonts w:ascii="Arial" w:hAnsi="Arial" w:cs="Arial"/>
          <w:color w:val="082B7A"/>
          <w:sz w:val="22"/>
          <w:szCs w:val="22"/>
          <w:u w:val="single"/>
          <w:shd w:val="clear" w:color="auto" w:fill="FFFFFF"/>
        </w:rPr>
        <w:t>prc_ppp_ind</w:t>
      </w:r>
      <w:proofErr w:type="spellEnd"/>
      <w:r w:rsidRPr="00F32A04">
        <w:rPr>
          <w:rFonts w:asciiTheme="minorHAnsi" w:hAnsiTheme="minorHAnsi"/>
          <w:sz w:val="22"/>
          <w:szCs w:val="22"/>
        </w:rPr>
        <w:fldChar w:fldCharType="end"/>
      </w:r>
    </w:p>
    <w:p w:rsidR="00F32A04" w:rsidRPr="00F32A04" w:rsidRDefault="00F32A04" w:rsidP="0063297B">
      <w:pPr>
        <w:spacing w:before="160" w:after="160" w:line="36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n-GB" w:eastAsia="bg-BG"/>
        </w:rPr>
      </w:pPr>
      <w:r w:rsidRPr="00F32A04">
        <w:rPr>
          <w:rFonts w:ascii="Verdana" w:eastAsia="Times New Roman" w:hAnsi="Verdana" w:cs="Arial"/>
          <w:b/>
          <w:bCs/>
          <w:sz w:val="20"/>
          <w:szCs w:val="20"/>
          <w:lang w:val="en-GB" w:eastAsia="bg-BG"/>
        </w:rPr>
        <w:t>For more information</w:t>
      </w:r>
    </w:p>
    <w:p w:rsidR="00F32A04" w:rsidRPr="00F32A04" w:rsidRDefault="00A26945" w:rsidP="00F32A04">
      <w:pPr>
        <w:numPr>
          <w:ilvl w:val="0"/>
          <w:numId w:val="1"/>
        </w:numPr>
        <w:spacing w:before="160" w:after="160" w:line="360" w:lineRule="auto"/>
        <w:ind w:firstLine="0"/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</w:pPr>
      <w:hyperlink r:id="rId14" w:history="1">
        <w:r w:rsidR="00F32A04" w:rsidRPr="00F32A04">
          <w:rPr>
            <w:rFonts w:ascii="Verdana" w:eastAsia="Times New Roman" w:hAnsi="Verdana" w:cs="Arial"/>
            <w:color w:val="0E47CB"/>
            <w:sz w:val="20"/>
            <w:szCs w:val="20"/>
            <w:lang w:val="en-GB" w:eastAsia="bg-BG"/>
          </w:rPr>
          <w:t>Statistics Explained article on consumption and GDP per capita</w:t>
        </w:r>
      </w:hyperlink>
    </w:p>
    <w:p w:rsidR="00F32A04" w:rsidRPr="00F32A04" w:rsidRDefault="00A26945" w:rsidP="00F32A04">
      <w:pPr>
        <w:numPr>
          <w:ilvl w:val="0"/>
          <w:numId w:val="1"/>
        </w:numPr>
        <w:spacing w:before="160" w:after="160" w:line="360" w:lineRule="auto"/>
        <w:ind w:firstLine="0"/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</w:pPr>
      <w:hyperlink r:id="rId15" w:history="1">
        <w:r w:rsidR="00F32A04" w:rsidRPr="00F32A04">
          <w:rPr>
            <w:rFonts w:ascii="Verdana" w:eastAsia="Times New Roman" w:hAnsi="Verdana" w:cs="Arial"/>
            <w:color w:val="0E47CB"/>
            <w:sz w:val="20"/>
            <w:szCs w:val="20"/>
            <w:lang w:val="en-GB" w:eastAsia="bg-BG"/>
          </w:rPr>
          <w:t>Thematic section on purchasing power parities</w:t>
        </w:r>
      </w:hyperlink>
    </w:p>
    <w:p w:rsidR="00F32A04" w:rsidRPr="00F32A04" w:rsidRDefault="00A26945" w:rsidP="00F32A04">
      <w:pPr>
        <w:numPr>
          <w:ilvl w:val="0"/>
          <w:numId w:val="1"/>
        </w:numPr>
        <w:spacing w:before="160" w:after="160" w:line="360" w:lineRule="auto"/>
        <w:ind w:firstLine="0"/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</w:pPr>
      <w:hyperlink r:id="rId16" w:history="1">
        <w:r w:rsidR="00F32A04" w:rsidRPr="00F32A04">
          <w:rPr>
            <w:rFonts w:ascii="Verdana" w:eastAsia="Times New Roman" w:hAnsi="Verdana" w:cs="Arial"/>
            <w:color w:val="0E47CB"/>
            <w:sz w:val="20"/>
            <w:szCs w:val="20"/>
            <w:lang w:val="en-GB" w:eastAsia="bg-BG"/>
          </w:rPr>
          <w:t>Database on purchasing power parities </w:t>
        </w:r>
      </w:hyperlink>
    </w:p>
    <w:p w:rsidR="00F32A04" w:rsidRPr="00F32A04" w:rsidRDefault="00A26945" w:rsidP="00F32A04">
      <w:pPr>
        <w:numPr>
          <w:ilvl w:val="0"/>
          <w:numId w:val="1"/>
        </w:numPr>
        <w:spacing w:before="160" w:after="160" w:line="360" w:lineRule="auto"/>
        <w:ind w:firstLine="0"/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</w:pPr>
      <w:hyperlink r:id="rId17" w:history="1">
        <w:r w:rsidR="00F32A04" w:rsidRPr="00F32A04">
          <w:rPr>
            <w:rFonts w:ascii="Verdana" w:eastAsia="Times New Roman" w:hAnsi="Verdana" w:cs="Arial"/>
            <w:color w:val="0E47CB"/>
            <w:sz w:val="20"/>
            <w:szCs w:val="20"/>
            <w:lang w:val="en-GB" w:eastAsia="bg-BG"/>
          </w:rPr>
          <w:t>Metadata on purchasing power parities</w:t>
        </w:r>
      </w:hyperlink>
      <w:r w:rsidR="00F32A04" w:rsidRPr="00F32A04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> </w:t>
      </w:r>
    </w:p>
    <w:p w:rsidR="00F32A04" w:rsidRPr="00F32A04" w:rsidRDefault="00A26945" w:rsidP="00F32A04">
      <w:pPr>
        <w:numPr>
          <w:ilvl w:val="0"/>
          <w:numId w:val="1"/>
        </w:numPr>
        <w:spacing w:before="160" w:after="160" w:line="360" w:lineRule="auto"/>
        <w:ind w:firstLine="0"/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</w:pPr>
      <w:hyperlink r:id="rId18" w:history="1">
        <w:r w:rsidR="00F32A04" w:rsidRPr="00F32A04">
          <w:rPr>
            <w:rFonts w:ascii="Verdana" w:eastAsia="Times New Roman" w:hAnsi="Verdana" w:cs="Arial"/>
            <w:color w:val="0E47CB"/>
            <w:sz w:val="20"/>
            <w:szCs w:val="20"/>
            <w:lang w:val="en-GB" w:eastAsia="bg-BG"/>
          </w:rPr>
          <w:t>Statistics 4 beginners on GDP</w:t>
        </w:r>
      </w:hyperlink>
      <w:r w:rsidR="00F32A04" w:rsidRPr="00F32A04">
        <w:rPr>
          <w:rFonts w:ascii="Verdana" w:eastAsia="Times New Roman" w:hAnsi="Verdana" w:cs="Times New Roman"/>
          <w:color w:val="515560"/>
          <w:sz w:val="20"/>
          <w:szCs w:val="20"/>
          <w:lang w:val="en-GB" w:eastAsia="bg-BG"/>
        </w:rPr>
        <w:t> </w:t>
      </w:r>
    </w:p>
    <w:p w:rsidR="00F32A04" w:rsidRPr="00F32A04" w:rsidRDefault="00F32A04" w:rsidP="00F32A04">
      <w:pPr>
        <w:spacing w:before="160" w:after="160" w:line="360" w:lineRule="auto"/>
        <w:outlineLvl w:val="2"/>
        <w:rPr>
          <w:rFonts w:ascii="Verdana" w:eastAsia="Times New Roman" w:hAnsi="Verdana" w:cs="Arial"/>
          <w:b/>
          <w:bCs/>
          <w:sz w:val="20"/>
          <w:szCs w:val="20"/>
          <w:lang w:val="en-GB" w:eastAsia="bg-BG"/>
        </w:rPr>
      </w:pPr>
      <w:r w:rsidRPr="00F32A04">
        <w:rPr>
          <w:rFonts w:ascii="Verdana" w:eastAsia="Times New Roman" w:hAnsi="Verdana" w:cs="Arial"/>
          <w:b/>
          <w:bCs/>
          <w:sz w:val="20"/>
          <w:szCs w:val="20"/>
          <w:lang w:val="en-GB" w:eastAsia="bg-BG"/>
        </w:rPr>
        <w:t>Methodological notes</w:t>
      </w:r>
    </w:p>
    <w:p w:rsidR="00F32A04" w:rsidRPr="0063297B" w:rsidRDefault="00F32A04" w:rsidP="0063297B">
      <w:pPr>
        <w:spacing w:before="160" w:after="160" w:line="360" w:lineRule="auto"/>
        <w:rPr>
          <w:rFonts w:ascii="Verdana" w:eastAsia="Times New Roman" w:hAnsi="Verdana" w:cs="Arial"/>
          <w:sz w:val="20"/>
          <w:szCs w:val="20"/>
          <w:lang w:val="en-GB" w:eastAsia="bg-BG"/>
        </w:rPr>
        <w:sectPr w:rsidR="00F32A04" w:rsidRPr="0063297B" w:rsidSect="00A26F8B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 w:rsidRPr="00F32A04">
        <w:rPr>
          <w:rFonts w:ascii="Verdana" w:eastAsia="Times New Roman" w:hAnsi="Verdana" w:cs="Arial"/>
          <w:sz w:val="20"/>
          <w:szCs w:val="20"/>
          <w:lang w:val="en-GB" w:eastAsia="bg-BG"/>
        </w:rPr>
        <w:t xml:space="preserve">The provisional estimates for 2023 presented in this news article are based on GDP and population data for 2023, extracted on 11 June 2024, and the most recent PPPs </w:t>
      </w:r>
      <w:r w:rsidRPr="00F32A04">
        <w:rPr>
          <w:rFonts w:ascii="Verdana" w:eastAsia="Times New Roman" w:hAnsi="Verdana" w:cs="Arial"/>
          <w:sz w:val="20"/>
          <w:szCs w:val="20"/>
          <w:lang w:val="en-GB" w:eastAsia="bg-BG"/>
        </w:rPr>
        <w:lastRenderedPageBreak/>
        <w:t>available. Revised estimates will be published in December 2024.</w:t>
      </w:r>
      <w:r w:rsidRPr="00F32A04">
        <w:rPr>
          <w:rFonts w:ascii="Verdana" w:eastAsia="Times New Roman" w:hAnsi="Verdana" w:cs="Arial"/>
          <w:sz w:val="20"/>
          <w:szCs w:val="20"/>
          <w:lang w:val="en-GB" w:eastAsia="bg-BG"/>
        </w:rPr>
        <w:br/>
        <w:t> </w:t>
      </w:r>
      <w:r w:rsidRPr="00F32A04">
        <w:rPr>
          <w:rFonts w:ascii="Verdana" w:eastAsia="Times New Roman" w:hAnsi="Verdana" w:cs="Arial"/>
          <w:sz w:val="20"/>
          <w:szCs w:val="20"/>
          <w:lang w:val="en-GB" w:eastAsia="bg-BG"/>
        </w:rPr>
        <w:br/>
        <w:t>If you have any queries, please visit our </w:t>
      </w:r>
      <w:hyperlink r:id="rId23" w:history="1">
        <w:r w:rsidRPr="00F32A04">
          <w:rPr>
            <w:rFonts w:ascii="Verdana" w:eastAsia="Times New Roman" w:hAnsi="Verdana" w:cs="Arial"/>
            <w:color w:val="0E47CB"/>
            <w:sz w:val="20"/>
            <w:szCs w:val="20"/>
            <w:u w:val="single"/>
            <w:lang w:val="en-GB" w:eastAsia="bg-BG"/>
          </w:rPr>
          <w:t>contact us</w:t>
        </w:r>
      </w:hyperlink>
      <w:r w:rsidR="0063297B">
        <w:rPr>
          <w:rFonts w:ascii="Verdana" w:eastAsia="Times New Roman" w:hAnsi="Verdana" w:cs="Arial"/>
          <w:sz w:val="20"/>
          <w:szCs w:val="20"/>
          <w:lang w:val="en-GB" w:eastAsia="bg-BG"/>
        </w:rPr>
        <w:t> page</w:t>
      </w:r>
    </w:p>
    <w:p w:rsidR="00171C36" w:rsidRPr="00CA0766" w:rsidRDefault="00171C36" w:rsidP="004760D3">
      <w:pPr>
        <w:spacing w:line="360" w:lineRule="auto"/>
        <w:jc w:val="both"/>
      </w:pPr>
    </w:p>
    <w:sectPr w:rsidR="00171C36" w:rsidRPr="00CA0766" w:rsidSect="008748F1">
      <w:headerReference w:type="first" r:id="rId24"/>
      <w:footerReference w:type="first" r:id="rId2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45" w:rsidRDefault="00A26945" w:rsidP="00214ACA">
      <w:r>
        <w:separator/>
      </w:r>
    </w:p>
  </w:endnote>
  <w:endnote w:type="continuationSeparator" w:id="0">
    <w:p w:rsidR="00A26945" w:rsidRDefault="00A26945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07F6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07F6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F8241D" w:rsidRPr="00F8241D">
      <w:rPr>
        <w:rFonts w:ascii="Verdana" w:hAnsi="Verdana"/>
        <w:noProof/>
        <w:color w:val="31312F"/>
        <w:spacing w:val="-2"/>
        <w:sz w:val="16"/>
        <w:szCs w:val="16"/>
        <w:lang w:eastAsia="bg-BG"/>
      </w:rPr>
      <w:t>2 "Р. Volov" Str., 1038 Sofia, Bulgaria, (+359 2) 9857 111, e-mail: info@nsi.bg, www.nsi.bg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14" w:rsidRDefault="00A26F8B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-279400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07F6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2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07F6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-307975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844F6D" id="Rectangle 37" o:spid="_x0000_s1026" style="position:absolute;margin-left:15.65pt;margin-top:-24.2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" fillcolor="#a5a5a5 [3206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07F6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07F6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:rsidR="00E13DB4" w:rsidRDefault="00F8241D" w:rsidP="0094060D">
    <w:pPr>
      <w:pStyle w:val="Footer"/>
      <w:spacing w:before="120"/>
      <w:jc w:val="center"/>
    </w:pPr>
    <w:r w:rsidRPr="00F8241D">
      <w:rPr>
        <w:rFonts w:ascii="Verdana" w:hAnsi="Verdana"/>
        <w:color w:val="31312F"/>
        <w:sz w:val="16"/>
        <w:szCs w:val="16"/>
      </w:rPr>
      <w:t xml:space="preserve">2 "Р. </w:t>
    </w:r>
    <w:proofErr w:type="spellStart"/>
    <w:r w:rsidRPr="00F8241D">
      <w:rPr>
        <w:rFonts w:ascii="Verdana" w:hAnsi="Verdana"/>
        <w:color w:val="31312F"/>
        <w:sz w:val="16"/>
        <w:szCs w:val="16"/>
      </w:rPr>
      <w:t>Volov</w:t>
    </w:r>
    <w:proofErr w:type="spellEnd"/>
    <w:r w:rsidRPr="00F8241D">
      <w:rPr>
        <w:rFonts w:ascii="Verdana" w:hAnsi="Verdana"/>
        <w:color w:val="31312F"/>
        <w:sz w:val="16"/>
        <w:szCs w:val="16"/>
      </w:rPr>
      <w:t xml:space="preserve">" </w:t>
    </w:r>
    <w:proofErr w:type="spellStart"/>
    <w:r w:rsidRPr="00F8241D">
      <w:rPr>
        <w:rFonts w:ascii="Verdana" w:hAnsi="Verdana"/>
        <w:color w:val="31312F"/>
        <w:sz w:val="16"/>
        <w:szCs w:val="16"/>
      </w:rPr>
      <w:t>Str</w:t>
    </w:r>
    <w:proofErr w:type="spellEnd"/>
    <w:r w:rsidRPr="00F8241D">
      <w:rPr>
        <w:rFonts w:ascii="Verdana" w:hAnsi="Verdana"/>
        <w:color w:val="31312F"/>
        <w:sz w:val="16"/>
        <w:szCs w:val="16"/>
      </w:rPr>
      <w:t xml:space="preserve">., 1038 </w:t>
    </w:r>
    <w:proofErr w:type="spellStart"/>
    <w:r w:rsidRPr="00F8241D">
      <w:rPr>
        <w:rFonts w:ascii="Verdana" w:hAnsi="Verdana"/>
        <w:color w:val="31312F"/>
        <w:sz w:val="16"/>
        <w:szCs w:val="16"/>
      </w:rPr>
      <w:t>Sofia</w:t>
    </w:r>
    <w:proofErr w:type="spellEnd"/>
    <w:r w:rsidRPr="00F8241D">
      <w:rPr>
        <w:rFonts w:ascii="Verdana" w:hAnsi="Verdana"/>
        <w:color w:val="31312F"/>
        <w:sz w:val="16"/>
        <w:szCs w:val="16"/>
      </w:rPr>
      <w:t>, Bulgaria, (+359 2) 9857 111, e-</w:t>
    </w:r>
    <w:proofErr w:type="spellStart"/>
    <w:r w:rsidRPr="00F8241D">
      <w:rPr>
        <w:rFonts w:ascii="Verdana" w:hAnsi="Verdana"/>
        <w:color w:val="31312F"/>
        <w:sz w:val="16"/>
        <w:szCs w:val="16"/>
      </w:rPr>
      <w:t>mail</w:t>
    </w:r>
    <w:proofErr w:type="spellEnd"/>
    <w:r w:rsidRPr="00F8241D">
      <w:rPr>
        <w:rFonts w:ascii="Verdana" w:hAnsi="Verdana"/>
        <w:color w:val="31312F"/>
        <w:sz w:val="16"/>
        <w:szCs w:val="16"/>
      </w:rPr>
      <w:t>: info@nsi.bg, www.nsi.bg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45" w:rsidRDefault="00A26945" w:rsidP="00214ACA">
      <w:r>
        <w:separator/>
      </w:r>
    </w:p>
  </w:footnote>
  <w:footnote w:type="continuationSeparator" w:id="0">
    <w:p w:rsidR="00A26945" w:rsidRDefault="00A26945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posOffset>834390</wp:posOffset>
              </wp:positionH>
              <wp:positionV relativeFrom="paragraph">
                <wp:posOffset>-447040</wp:posOffset>
              </wp:positionV>
              <wp:extent cx="4095750" cy="39052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1DE0" w:rsidRPr="00101DE0" w:rsidRDefault="00F32A04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32A04">
                            <w:rPr>
                              <w:rFonts w:ascii="Verdana" w:eastAsia="Times New Roman" w:hAnsi="Verdana" w:cs="Times New Roman"/>
                              <w:b/>
                              <w:bCs/>
                              <w:kern w:val="36"/>
                              <w:sz w:val="20"/>
                              <w:szCs w:val="20"/>
                              <w:lang w:val="en-GB" w:eastAsia="bg-BG"/>
                            </w:rPr>
                            <w:t>Actual individual consumption per capita in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35.2pt;width:322.5pt;height:30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" stroked="f">
              <v:textbox>
                <w:txbxContent>
                  <w:p w:rsidR="00101DE0" w:rsidRPr="00101DE0" w:rsidRDefault="00F32A04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32A04">
                      <w:rPr>
                        <w:rFonts w:ascii="Verdana" w:eastAsia="Times New Roman" w:hAnsi="Verdana" w:cs="Times New Roman"/>
                        <w:b/>
                        <w:bCs/>
                        <w:kern w:val="36"/>
                        <w:sz w:val="20"/>
                        <w:szCs w:val="20"/>
                        <w:lang w:val="en-GB" w:eastAsia="bg-BG"/>
                      </w:rPr>
                      <w:t>Actual individual consumption per capita in 2023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1AA8D76" wp14:editId="070189D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021" w:rsidRDefault="00F8241D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F8241D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REPUBLIC OF BULGARIA</w:t>
                          </w:r>
                        </w:p>
                        <w:p w:rsidR="009E4021" w:rsidRPr="00FD731D" w:rsidRDefault="00F8241D">
                          <w:pPr>
                            <w:rPr>
                              <w:b/>
                            </w:rPr>
                          </w:pPr>
                          <w:r w:rsidRPr="00F824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National Statistical Institute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F8241D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F8241D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REPUBLIC OF BULGARIA</w:t>
                    </w:r>
                  </w:p>
                  <w:p w:rsidR="009E4021" w:rsidRPr="00FD731D" w:rsidRDefault="00F8241D">
                    <w:pPr>
                      <w:rPr>
                        <w:b/>
                      </w:rPr>
                    </w:pPr>
                    <w:r w:rsidRPr="00F824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National Statistical Institute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F1" w:rsidRPr="004F064E" w:rsidRDefault="008748F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08791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9407CE6" wp14:editId="4A046C28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409575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8F1" w:rsidRPr="004B0947" w:rsidRDefault="00F32A04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  <w:lang w:val="en-US"/>
                            </w:rPr>
                          </w:pPr>
                          <w:r w:rsidRPr="00F32A04">
                            <w:rPr>
                              <w:rFonts w:ascii="Verdana" w:eastAsia="Times New Roman" w:hAnsi="Verdana" w:cs="Times New Roman"/>
                              <w:b/>
                              <w:bCs/>
                              <w:kern w:val="36"/>
                              <w:sz w:val="20"/>
                              <w:szCs w:val="20"/>
                              <w:lang w:val="en-GB" w:eastAsia="bg-BG"/>
                            </w:rPr>
                            <w:t>Actual individual consumption per capita in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4.2pt;width:322.5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" stroked="f">
              <v:textbox>
                <w:txbxContent>
                  <w:p w:rsidR="008748F1" w:rsidRPr="004B0947" w:rsidRDefault="00F32A04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  <w:lang w:val="en-US"/>
                      </w:rPr>
                    </w:pPr>
                    <w:r w:rsidRPr="00F32A04">
                      <w:rPr>
                        <w:rFonts w:ascii="Verdana" w:eastAsia="Times New Roman" w:hAnsi="Verdana" w:cs="Times New Roman"/>
                        <w:b/>
                        <w:bCs/>
                        <w:kern w:val="36"/>
                        <w:sz w:val="20"/>
                        <w:szCs w:val="20"/>
                        <w:lang w:val="en-GB" w:eastAsia="bg-BG"/>
                      </w:rPr>
                      <w:t>Actual individual consumption per capita in 2023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7F00"/>
    <w:multiLevelType w:val="multilevel"/>
    <w:tmpl w:val="E564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3483D"/>
    <w:rsid w:val="0006051E"/>
    <w:rsid w:val="000607BC"/>
    <w:rsid w:val="00077C97"/>
    <w:rsid w:val="000B17C2"/>
    <w:rsid w:val="000B2B10"/>
    <w:rsid w:val="000C0D56"/>
    <w:rsid w:val="000F0B88"/>
    <w:rsid w:val="00101DE0"/>
    <w:rsid w:val="00156949"/>
    <w:rsid w:val="00171C36"/>
    <w:rsid w:val="001B03D8"/>
    <w:rsid w:val="00214ACA"/>
    <w:rsid w:val="00266AA7"/>
    <w:rsid w:val="002C293F"/>
    <w:rsid w:val="002C72D4"/>
    <w:rsid w:val="00332C88"/>
    <w:rsid w:val="00336556"/>
    <w:rsid w:val="00364357"/>
    <w:rsid w:val="00390827"/>
    <w:rsid w:val="003B46BA"/>
    <w:rsid w:val="003C2111"/>
    <w:rsid w:val="00446CF4"/>
    <w:rsid w:val="004760D3"/>
    <w:rsid w:val="00486232"/>
    <w:rsid w:val="004911B6"/>
    <w:rsid w:val="004B0947"/>
    <w:rsid w:val="004F064E"/>
    <w:rsid w:val="00520539"/>
    <w:rsid w:val="005B4023"/>
    <w:rsid w:val="00607F6A"/>
    <w:rsid w:val="006120F5"/>
    <w:rsid w:val="0063297B"/>
    <w:rsid w:val="00644D53"/>
    <w:rsid w:val="00654814"/>
    <w:rsid w:val="00676C26"/>
    <w:rsid w:val="006A212D"/>
    <w:rsid w:val="006D1116"/>
    <w:rsid w:val="006D1BE4"/>
    <w:rsid w:val="00704539"/>
    <w:rsid w:val="00764226"/>
    <w:rsid w:val="007C61E0"/>
    <w:rsid w:val="007C7A6A"/>
    <w:rsid w:val="007F116A"/>
    <w:rsid w:val="007F17B3"/>
    <w:rsid w:val="008041CB"/>
    <w:rsid w:val="008322DE"/>
    <w:rsid w:val="00870559"/>
    <w:rsid w:val="008748F1"/>
    <w:rsid w:val="00881B14"/>
    <w:rsid w:val="00883238"/>
    <w:rsid w:val="008D3797"/>
    <w:rsid w:val="008E71E8"/>
    <w:rsid w:val="0094060D"/>
    <w:rsid w:val="00947EBF"/>
    <w:rsid w:val="009E4021"/>
    <w:rsid w:val="00A05FB6"/>
    <w:rsid w:val="00A14E83"/>
    <w:rsid w:val="00A20810"/>
    <w:rsid w:val="00A26945"/>
    <w:rsid w:val="00A26F8B"/>
    <w:rsid w:val="00A410AC"/>
    <w:rsid w:val="00A7142A"/>
    <w:rsid w:val="00A869E9"/>
    <w:rsid w:val="00AC3D78"/>
    <w:rsid w:val="00AE4196"/>
    <w:rsid w:val="00B0333E"/>
    <w:rsid w:val="00B07D27"/>
    <w:rsid w:val="00B51116"/>
    <w:rsid w:val="00B55B11"/>
    <w:rsid w:val="00B67915"/>
    <w:rsid w:val="00B77149"/>
    <w:rsid w:val="00C22E8B"/>
    <w:rsid w:val="00C616FD"/>
    <w:rsid w:val="00C93974"/>
    <w:rsid w:val="00CA0766"/>
    <w:rsid w:val="00D82477"/>
    <w:rsid w:val="00DD11CB"/>
    <w:rsid w:val="00DE20CA"/>
    <w:rsid w:val="00DE4F56"/>
    <w:rsid w:val="00E13DB4"/>
    <w:rsid w:val="00E563C3"/>
    <w:rsid w:val="00E67823"/>
    <w:rsid w:val="00F32A04"/>
    <w:rsid w:val="00F8241D"/>
    <w:rsid w:val="00FA00EF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statistics-explained/index.php?title=Glossary:Actual_individual_consumption_(AIC)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ec.europa.eu/eurostat/statistics-explained/index.php?title=Beginners:GD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ec.europa.eu/eurostat/statistics-explained/index.php?title=Glossary:Gross_domestic_product_(GDP)" TargetMode="External"/><Relationship Id="rId17" Type="http://schemas.openxmlformats.org/officeDocument/2006/relationships/hyperlink" Target="https://ec.europa.eu/eurostat/cache/metadata/en/prc_ppp_esms.htm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ec.europa.eu/eurostat/web/purchasing-power-parities/databa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eurostat/web/purchasing-power-parities/overview" TargetMode="External"/><Relationship Id="rId23" Type="http://schemas.openxmlformats.org/officeDocument/2006/relationships/hyperlink" Target="https://ec.europa.eu/eurostat/web/main/contact-us" TargetMode="External"/><Relationship Id="rId10" Type="http://schemas.openxmlformats.org/officeDocument/2006/relationships/hyperlink" Target="https://ec.europa.eu/eurostat/web/purchasing-power-parities/databas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statistics-explained/index.php?title=Glossary:Purchasing_power_standard_(PPS)" TargetMode="External"/><Relationship Id="rId14" Type="http://schemas.openxmlformats.org/officeDocument/2006/relationships/hyperlink" Target="https://ec.europa.eu/eurostat/statistics-explained/index.php?title=GDP_per_capita,_consumption_per_capita_and_price_level_indices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3C18-1856-4B3C-8CC9-19F671F3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Martin Somov</cp:lastModifiedBy>
  <cp:revision>18</cp:revision>
  <dcterms:created xsi:type="dcterms:W3CDTF">2024-04-29T12:18:00Z</dcterms:created>
  <dcterms:modified xsi:type="dcterms:W3CDTF">2024-06-20T10:01:00Z</dcterms:modified>
</cp:coreProperties>
</file>